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rPr>
          <w:b/>
          <w:bCs/>
        </w:rPr>
      </w:pPr>
      <w:r>
        <w:rPr>
          <w:b/>
          <w:bCs/>
        </w:rPr>
        <w:t>EXHIBIT A</w:t>
      </w:r>
    </w:p>
    <w:p>
      <w:pPr>
        <w:pStyle w:val="CenteredHeading"/>
        <w:jc w:val="both"/>
        <w:rPr/>
      </w:pPr>
      <w:r>
        <w:rPr/>
        <w:t>All right, title and interest of the Secured Party in, to and under the Agreement, dated as of May 12, 2000, between the Secured Party, Debtor and GE Packaged Power, Inc.</w:t>
      </w:r>
      <w:r>
        <w:rPr>
          <w:u w:val="double"/>
        </w:rPr>
        <w:t>, and the Agreement in Principle dated as of October 21, 1999, by the Secured Party with GE Packaged Power, Inc., in each case</w:t>
      </w:r>
      <w:r>
        <w:rPr/>
        <w:t xml:space="preserve"> with respect or relating to </w:t>
      </w:r>
      <w:r>
        <w:rPr>
          <w:strike/>
        </w:rPr>
        <w:t>[__]</w:t>
      </w:r>
      <w:r>
        <w:rPr/>
        <w:t xml:space="preserve"> </w:t>
      </w:r>
      <w:r>
        <w:rPr>
          <w:u w:val="double"/>
        </w:rPr>
        <w:t>twelve (12)</w:t>
      </w:r>
      <w:r>
        <w:rPr/>
        <w:t xml:space="preserve"> LM6000 combustion turbine generator sets with </w:t>
      </w:r>
      <w:r>
        <w:rPr>
          <w:strike/>
        </w:rPr>
        <w:t>[__]</w:t>
      </w:r>
      <w:r>
        <w:rPr/>
        <w:t xml:space="preserve"> </w:t>
      </w:r>
      <w:r>
        <w:rPr>
          <w:u w:val="double"/>
        </w:rPr>
        <w:t>twelve (12)</w:t>
      </w:r>
      <w:r>
        <w:rPr/>
        <w:t xml:space="preserve"> sets of Sprint Power Boost Enhanced System Hardware having, in the case of completed sets, the following Unit Serial Numbers </w:t>
      </w:r>
      <w:r>
        <w:rPr>
          <w:u w:val="double"/>
        </w:rPr>
        <w:t>or, in the case of uncompleted sets, the following turbine unit numbers</w:t>
      </w:r>
      <w:r>
        <w:rPr/>
        <w:t>, together with all other equipment related thereto:</w:t>
      </w:r>
    </w:p>
    <w:p>
      <w:pPr>
        <w:pStyle w:val="CenteredHeading"/>
        <w:jc w:val="both"/>
        <w:rPr/>
      </w:pPr>
      <w:r>
        <w:rPr/>
        <w:tab/>
        <w:t xml:space="preserve">Unit </w:t>
      </w:r>
      <w:r>
        <w:rPr>
          <w:strike/>
        </w:rPr>
        <w:t>Number 309101</w:t>
      </w:r>
    </w:p>
    <w:p>
      <w:pPr>
        <w:pStyle w:val="CenteredHeading"/>
        <w:jc w:val="both"/>
        <w:rPr>
          <w:strike/>
        </w:rPr>
      </w:pPr>
      <w:r>
        <w:rPr>
          <w:strike/>
        </w:rPr>
        <w:t>Unit Number 309123</w:t>
      </w:r>
    </w:p>
    <w:p>
      <w:pPr>
        <w:pStyle w:val="CenteredHeading"/>
        <w:jc w:val="both"/>
        <w:rPr>
          <w:strike/>
        </w:rPr>
      </w:pPr>
      <w:r>
        <w:rPr>
          <w:strike/>
        </w:rPr>
        <w:t>Unit Number 309420</w:t>
      </w:r>
    </w:p>
    <w:p>
      <w:pPr>
        <w:pStyle w:val="CenteredHeading"/>
        <w:jc w:val="both"/>
        <w:rPr>
          <w:strike/>
        </w:rPr>
      </w:pPr>
      <w:r>
        <w:rPr>
          <w:strike/>
        </w:rPr>
        <w:t>Unit Number 309505</w:t>
      </w:r>
    </w:p>
    <w:p>
      <w:pPr>
        <w:pStyle w:val="CenteredHeading"/>
        <w:jc w:val="both"/>
        <w:rPr>
          <w:strike/>
        </w:rPr>
      </w:pPr>
      <w:r>
        <w:rPr>
          <w:strike/>
        </w:rPr>
        <w:t>Unit Number 309573</w:t>
      </w:r>
    </w:p>
    <w:p>
      <w:pPr>
        <w:pStyle w:val="CenteredHeading"/>
        <w:jc w:val="both"/>
        <w:rPr>
          <w:strike/>
        </w:rPr>
      </w:pPr>
      <w:r>
        <w:rPr>
          <w:strike/>
        </w:rPr>
        <w:t>Unit Number 309601</w:t>
      </w:r>
    </w:p>
    <w:p>
      <w:pPr>
        <w:pStyle w:val="CenteredHeading"/>
        <w:jc w:val="both"/>
        <w:rPr>
          <w:strike/>
        </w:rPr>
      </w:pPr>
      <w:r>
        <w:rPr>
          <w:strike/>
        </w:rPr>
        <w:t>[Unit Number 309604]</w:t>
      </w:r>
    </w:p>
    <w:p>
      <w:pPr>
        <w:pStyle w:val="CenteredHeading"/>
        <w:jc w:val="both"/>
        <w:rPr/>
      </w:pPr>
      <w:r>
        <w:rPr>
          <w:strike/>
        </w:rPr>
        <w:t>[Unit Number 309719]</w:t>
      </w:r>
      <w:r>
        <w:rPr/>
        <w:t xml:space="preserve"> </w:t>
      </w:r>
      <w:r>
        <w:rPr>
          <w:u w:val="double"/>
        </w:rPr>
        <w:t>Serial Number 309101</w:t>
      </w:r>
    </w:p>
    <w:p>
      <w:pPr>
        <w:pStyle w:val="CenteredHeading"/>
        <w:jc w:val="both"/>
        <w:rPr/>
      </w:pPr>
      <w:r>
        <w:rPr/>
        <w:tab/>
      </w:r>
      <w:r>
        <w:rPr>
          <w:u w:val="double"/>
        </w:rPr>
        <w:t>Unit Serial Number 309123</w:t>
      </w:r>
    </w:p>
    <w:p>
      <w:pPr>
        <w:pStyle w:val="CenteredHeading"/>
        <w:jc w:val="both"/>
        <w:rPr/>
      </w:pPr>
      <w:r>
        <w:rPr/>
        <w:tab/>
      </w:r>
      <w:r>
        <w:rPr>
          <w:u w:val="double"/>
        </w:rPr>
        <w:t>Unit Serial Number 309420</w:t>
      </w:r>
    </w:p>
    <w:p>
      <w:pPr>
        <w:pStyle w:val="CenteredHeading"/>
        <w:jc w:val="both"/>
        <w:rPr/>
      </w:pPr>
      <w:r>
        <w:rPr/>
        <w:tab/>
      </w:r>
      <w:r>
        <w:rPr>
          <w:u w:val="double"/>
        </w:rPr>
        <w:t>Unit Serial Number 309505</w:t>
      </w:r>
    </w:p>
    <w:p>
      <w:pPr>
        <w:pStyle w:val="CenteredHeading"/>
        <w:jc w:val="both"/>
        <w:rPr/>
      </w:pPr>
      <w:r>
        <w:rPr/>
        <w:tab/>
      </w:r>
      <w:r>
        <w:rPr>
          <w:u w:val="double"/>
        </w:rPr>
        <w:t>Unit Serial Number 309573</w:t>
      </w:r>
    </w:p>
    <w:p>
      <w:pPr>
        <w:pStyle w:val="CenteredHeading"/>
        <w:jc w:val="both"/>
        <w:rPr/>
      </w:pPr>
      <w:r>
        <w:rPr/>
        <w:tab/>
      </w:r>
      <w:r>
        <w:rPr>
          <w:u w:val="double"/>
        </w:rPr>
        <w:t>Unit Serial Number 309601</w:t>
      </w:r>
    </w:p>
    <w:p>
      <w:pPr>
        <w:pStyle w:val="CenteredHeading"/>
        <w:jc w:val="both"/>
        <w:rPr/>
      </w:pPr>
      <w:r>
        <w:rPr/>
        <w:tab/>
      </w:r>
      <w:r>
        <w:rPr>
          <w:u w:val="double"/>
        </w:rPr>
        <w:t>Unit Serial Number 309604</w:t>
      </w:r>
    </w:p>
    <w:p>
      <w:pPr>
        <w:pStyle w:val="CenteredHeading"/>
        <w:jc w:val="both"/>
        <w:rPr/>
      </w:pPr>
      <w:r>
        <w:rPr/>
        <w:tab/>
      </w:r>
      <w:r>
        <w:rPr>
          <w:u w:val="double"/>
        </w:rPr>
        <w:t>Unit Serial Number 309719</w:t>
      </w:r>
    </w:p>
    <w:p>
      <w:pPr>
        <w:pStyle w:val="CenteredHeading"/>
        <w:jc w:val="both"/>
        <w:rPr/>
      </w:pPr>
      <w:r>
        <w:rPr/>
        <w:tab/>
      </w:r>
      <w:r>
        <w:rPr>
          <w:u w:val="double"/>
        </w:rPr>
        <w:t>Turbine Unit Number 19</w:t>
      </w:r>
    </w:p>
    <w:p>
      <w:pPr>
        <w:pStyle w:val="CenteredHeading"/>
        <w:jc w:val="both"/>
        <w:rPr/>
      </w:pPr>
      <w:r>
        <w:rPr/>
        <w:tab/>
      </w:r>
      <w:r>
        <w:rPr>
          <w:u w:val="double"/>
        </w:rPr>
        <w:t>Turbine Unit Number 20</w:t>
      </w:r>
    </w:p>
    <w:p>
      <w:pPr>
        <w:pStyle w:val="CenteredHeading"/>
        <w:jc w:val="both"/>
        <w:rPr/>
      </w:pPr>
      <w:r>
        <w:rPr/>
        <w:tab/>
      </w:r>
      <w:r>
        <w:rPr>
          <w:u w:val="double"/>
        </w:rPr>
        <w:t>Turbine Unit Number 23</w:t>
      </w:r>
    </w:p>
    <w:p>
      <w:pPr>
        <w:pStyle w:val="CenteredHeading"/>
        <w:jc w:val="both"/>
        <w:rPr/>
      </w:pPr>
      <w:r>
        <w:rPr/>
        <w:tab/>
      </w:r>
      <w:r>
        <w:rPr>
          <w:u w:val="double"/>
        </w:rPr>
        <w:t>Turbine Unit Number 24</w:t>
      </w:r>
    </w:p>
    <w:p>
      <w:pPr>
        <w:pStyle w:val="BodyText"/>
        <w:rPr/>
      </w:pPr>
      <w:r>
        <w:rPr/>
      </w:r>
    </w:p>
    <w:p>
      <w:pPr>
        <w:pStyle w:val="BodyText"/>
        <w:rPr/>
      </w:pPr>
      <w:r>
        <w:rPr/>
      </w:r>
    </w:p>
    <w:p>
      <w:pPr>
        <w:pStyle w:val="BodyText"/>
        <w:rPr/>
      </w:pPr>
      <w:r>
        <w:rPr/>
        <w:t xml:space="preserve">This redlined draft, generated by CompareRite (TM) - The Instant Redliner, shows the differences between - </w:t>
      </w:r>
    </w:p>
    <w:p>
      <w:pPr>
        <w:pStyle w:val="BodyText"/>
        <w:rPr/>
      </w:pPr>
      <w:r>
        <w:rPr/>
        <w:t>original document   : C:\DOCUME~1\HOLMTA\LOCALS~1\TEMP\HOU_597247_1</w:t>
      </w:r>
    </w:p>
    <w:p>
      <w:pPr>
        <w:pStyle w:val="BodyText"/>
        <w:rPr/>
      </w:pPr>
      <w:r>
        <w:rPr/>
        <w:t>and revised document: C:\DOCUME~1\HOLMTA\LOCALS~1\TEMP\HOU_597247_2</w:t>
      </w:r>
    </w:p>
    <w:p>
      <w:pPr>
        <w:pStyle w:val="BodyText"/>
        <w:rPr/>
      </w:pPr>
      <w:r>
        <w:rPr/>
      </w:r>
    </w:p>
    <w:p>
      <w:pPr>
        <w:pStyle w:val="BodyText"/>
        <w:rPr/>
      </w:pPr>
      <w:r>
        <w:rPr/>
        <w:t>CompareRite found    5 change(s) in the text</w:t>
      </w:r>
    </w:p>
    <w:p>
      <w:pPr>
        <w:pStyle w:val="BodyText"/>
        <w:rPr/>
      </w:pPr>
      <w:r>
        <w:rPr/>
      </w:r>
    </w:p>
    <w:p>
      <w:pPr>
        <w:pStyle w:val="BodyText"/>
        <w:rPr/>
      </w:pPr>
      <w:r>
        <w:rPr/>
        <w:t xml:space="preserve">Deletions appear as Overstrike text </w:t>
      </w:r>
    </w:p>
    <w:p>
      <w:pPr>
        <w:pStyle w:val="BodyText"/>
        <w:spacing w:before="0" w:after="240"/>
        <w:jc w:val="both"/>
        <w:rPr/>
      </w:pPr>
      <w:r>
        <w:rPr/>
        <w:t xml:space="preserve">Additions appear as Double Underline text </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b/>
        <w:bCs/>
        <w:i/>
        <w:iCs/>
      </w:rPr>
      <w:t>Blackline</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HOU:597957.1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HOU:597957.1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bCs/>
      <w:sz w:val="32"/>
      <w:szCs w:val="32"/>
    </w:rPr>
  </w:style>
  <w:style w:type="paragraph" w:styleId="Heading2">
    <w:name w:val="heading 2"/>
    <w:basedOn w:val="Normal"/>
    <w:next w:val="Normal"/>
    <w:qFormat/>
    <w:pPr>
      <w:keepNext w:val="true"/>
      <w:numPr>
        <w:ilvl w:val="1"/>
        <w:numId w:val="1"/>
      </w:numPr>
      <w:spacing w:before="0" w:after="240"/>
      <w:outlineLvl w:val="1"/>
    </w:pPr>
    <w:rPr>
      <w:b/>
      <w:bCs/>
      <w:i/>
      <w:iCs/>
      <w:sz w:val="28"/>
      <w:szCs w:val="28"/>
    </w:rPr>
  </w:style>
  <w:style w:type="paragraph" w:styleId="Heading3">
    <w:name w:val="heading 3"/>
    <w:basedOn w:val="Normal"/>
    <w:next w:val="Normal"/>
    <w:qFormat/>
    <w:pPr>
      <w:keepNext w:val="true"/>
      <w:numPr>
        <w:ilvl w:val="2"/>
        <w:numId w:val="1"/>
      </w:numPr>
      <w:spacing w:before="0" w:after="240"/>
      <w:outlineLvl w:val="2"/>
    </w:pPr>
    <w:rPr/>
  </w:style>
  <w:style w:type="paragraph" w:styleId="Heading4">
    <w:name w:val="heading 4"/>
    <w:basedOn w:val="Normal"/>
    <w:next w:val="Normal"/>
    <w:qFormat/>
    <w:pPr>
      <w:keepNext w:val="true"/>
      <w:numPr>
        <w:ilvl w:val="3"/>
        <w:numId w:val="1"/>
      </w:numPr>
      <w:spacing w:before="0" w:after="240"/>
      <w:ind w:hanging="0" w:start="720" w:end="0"/>
      <w:outlineLvl w:val="3"/>
    </w:pPr>
    <w:rPr>
      <w:b/>
      <w:bCs/>
    </w:rPr>
  </w:style>
  <w:style w:type="paragraph" w:styleId="Heading5">
    <w:name w:val="heading 5"/>
    <w:basedOn w:val="Normal"/>
    <w:next w:val="Normal"/>
    <w:qFormat/>
    <w:pPr>
      <w:numPr>
        <w:ilvl w:val="4"/>
        <w:numId w:val="1"/>
      </w:numPr>
      <w:spacing w:before="0" w:after="240"/>
      <w:ind w:hanging="0" w:start="720" w:end="0"/>
      <w:outlineLvl w:val="4"/>
    </w:pPr>
    <w:rPr>
      <w:i/>
      <w:iCs/>
    </w:rPr>
  </w:style>
  <w:style w:type="paragraph" w:styleId="Heading6">
    <w:name w:val="heading 6"/>
    <w:basedOn w:val="Normal"/>
    <w:next w:val="Normal"/>
    <w:qFormat/>
    <w:pPr>
      <w:numPr>
        <w:ilvl w:val="5"/>
        <w:numId w:val="1"/>
      </w:numPr>
      <w:spacing w:before="0" w:after="240"/>
      <w:outlineLvl w:val="5"/>
    </w:pPr>
    <w:rPr>
      <w:b/>
      <w:bCs/>
    </w:rPr>
  </w:style>
  <w:style w:type="paragraph" w:styleId="Heading7">
    <w:name w:val="heading 7"/>
    <w:basedOn w:val="Normal"/>
    <w:next w:val="Normal"/>
    <w:qFormat/>
    <w:pPr>
      <w:numPr>
        <w:ilvl w:val="6"/>
        <w:numId w:val="1"/>
      </w:numPr>
      <w:spacing w:before="0" w:after="240"/>
      <w:outlineLvl w:val="6"/>
    </w:pPr>
    <w:rPr>
      <w:b/>
      <w:bCs/>
      <w:i/>
      <w:iCs/>
    </w:rPr>
  </w:style>
  <w:style w:type="paragraph" w:styleId="Heading8">
    <w:name w:val="heading 8"/>
    <w:basedOn w:val="Normal"/>
    <w:next w:val="Normal"/>
    <w:qFormat/>
    <w:pPr>
      <w:numPr>
        <w:ilvl w:val="7"/>
        <w:numId w:val="1"/>
      </w:numPr>
      <w:spacing w:before="0" w:after="240"/>
      <w:outlineLvl w:val="7"/>
    </w:pPr>
    <w:rPr>
      <w:i/>
      <w:iCs/>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DocID">
    <w:name w:val="DocID"/>
    <w:basedOn w:val="DefaultParagraphFont"/>
    <w:qFormat/>
    <w:rPr>
      <w:sz w:val="12"/>
      <w:szCs w:val="12"/>
    </w:rPr>
  </w:style>
  <w:style w:type="paragraph" w:styleId="Heading">
    <w:name w:val="Heading"/>
    <w:basedOn w:val="Normal"/>
    <w:next w:val="BodyTextFirstIndent"/>
    <w:qFormat/>
    <w:pPr>
      <w:spacing w:before="0" w:after="240"/>
      <w:jc w:val="center"/>
    </w:pPr>
    <w:rPr>
      <w:b/>
      <w:bCs/>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CenteredHeading">
    <w:name w:val="Centered Heading"/>
    <w:basedOn w:val="Normal"/>
    <w:qFormat/>
    <w:pPr>
      <w:spacing w:before="0" w:after="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EndnoteText">
    <w:name w:val="endnote text"/>
    <w:basedOn w:val="Normal"/>
    <w:pPr/>
    <w:rPr>
      <w:sz w:val="20"/>
      <w:szCs w:val="20"/>
    </w:rPr>
  </w:style>
  <w:style w:type="paragraph" w:styleId="CommentText">
    <w:name w:val="Comment Text"/>
    <w:basedOn w:val="Normal"/>
    <w:qFormat/>
    <w:pPr/>
    <w:rPr>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2000-12-12T17:52:00Z</dcterms:created>
  <dc:creator>A&amp;K</dc:creator>
  <dc:description/>
  <dc:language>en-CA</dc:language>
  <cp:lastModifiedBy>A&amp;K</cp:lastModifiedBy>
  <cp:lastPrinted>2000-12-12T14:21:00Z</cp:lastPrinted>
  <dcterms:modified xsi:type="dcterms:W3CDTF">2000-12-12T17:52:00Z</dcterms:modified>
  <cp:revision>3</cp:revision>
  <dc:subject/>
  <dc:title>EXHIBIT 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HOU:597957.1 </vt:lpwstr>
  </property>
</Properties>
</file>