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pPr>
      <w:r>
        <w:rPr/>
        <w:t>PURCHASE OPTION ASSIGNMENT AND ASSUMPTION AGREEMENT</w:t>
      </w:r>
    </w:p>
    <w:p>
      <w:pPr>
        <w:pStyle w:val="CenteredHeading"/>
        <w:rPr>
          <w:u w:val="none"/>
        </w:rPr>
      </w:pPr>
      <w:r>
        <w:rPr>
          <w:u w:val="none"/>
        </w:rPr>
        <w:t>[Re: MHI Turbines – Turbine [I][II] Ltd.]</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dated as of December [__], 2000, is among, ENRON BRAZIL POWER HOLDINGS XVIII LTD., a Cayman company (“</w:t>
      </w:r>
      <w:r>
        <w:rPr>
          <w:u w:val="single"/>
        </w:rPr>
        <w:t>EBPH</w:t>
      </w:r>
      <w:r>
        <w:rPr/>
        <w:t>”), BRAZILIAN POWER DEVELOPMENT TRUST, a Delaware business trust (“</w:t>
      </w:r>
      <w:r>
        <w:rPr>
          <w:u w:val="single"/>
        </w:rPr>
        <w:t>Owner Trust</w:t>
      </w:r>
      <w:r>
        <w:rPr/>
        <w:t>"), WESTDEUTSCHE LANDESBANK GIROZENTRALE, NEW YORK BRANCH, as lessor party to the ADA (as such term is defined below) ("</w:t>
      </w:r>
      <w:r>
        <w:rPr>
          <w:u w:val="single"/>
        </w:rPr>
        <w:t>WestLB</w:t>
      </w:r>
      <w:r>
        <w:rPr/>
        <w:t>"), and ENRON BRAZIL TURBINE [I][II] LTD., a Cayman company (“</w:t>
      </w:r>
      <w:r>
        <w:rPr>
          <w:u w:val="single"/>
        </w:rPr>
        <w:t>Turbine Ltd.</w:t>
      </w:r>
      <w:r>
        <w:rPr/>
        <w:t>”).  Capitalized terms not otherwise defined herein are used herein as defined in the ADA (as defined below).</w:t>
      </w:r>
    </w:p>
    <w:p>
      <w:pPr>
        <w:pStyle w:val="CenteredHeading"/>
        <w:rPr/>
      </w:pPr>
      <w:r>
        <w:rPr/>
        <w:t>R E C I T A L S</w:t>
      </w:r>
    </w:p>
    <w:p>
      <w:pPr>
        <w:pStyle w:val="WSBody-Just-51stLnIndnt"/>
        <w:rPr/>
      </w:pPr>
      <w:r>
        <w:rPr/>
        <w:t>WHEREAS, WestLB, EBPH, as agent for WestLB under the ADA, and Mitsubishi Heavy Industries, Ltd., a Japanese corporation ("</w:t>
      </w:r>
      <w:r>
        <w:rPr>
          <w:u w:val="single"/>
        </w:rPr>
        <w:t>MHI</w:t>
      </w:r>
      <w:r>
        <w:rPr/>
        <w:t>"), are parties to that certain Purchase Agreement, dated as of March 8, 2000, with respect to certain to-be-built gas turbine generator packages and related ancillary equipment described therein, as amended by the Option Exercise and Amendment, dated July 19, 2000, among MHI, WestLB and EBPH (as so amended and as in effect on the date hereof, the "</w:t>
      </w:r>
      <w:r>
        <w:rPr>
          <w:u w:val="single"/>
        </w:rPr>
        <w:t>Contract</w:t>
      </w:r>
      <w:r>
        <w:rPr/>
        <w:t>”);</w:t>
      </w:r>
    </w:p>
    <w:p>
      <w:pPr>
        <w:pStyle w:val="WSBody-Just-51stLnIndnt"/>
        <w:rPr/>
      </w:pPr>
      <w:r>
        <w:rPr/>
        <w:t>WHEREAS, EBPH, as assignee of Enron South America Turbine LLC, and WestLB have entered into an Amended and Restated Acquisition and Development Agreement (the "</w:t>
      </w:r>
      <w:r>
        <w:rPr>
          <w:u w:val="single"/>
        </w:rPr>
        <w:t>ADA</w:t>
      </w:r>
      <w:r>
        <w:rPr/>
        <w:t>"), dated as of July 19, 2000, appointing EBPH as WestLB's acquisition agent in connection therewith and providing for the performance by EBPH of all of the obligations of WestLB under the Contract, except for the obligation to fund the purchase price related thereto and indemnification obligations set forth therein;</w:t>
      </w:r>
    </w:p>
    <w:p>
      <w:pPr>
        <w:pStyle w:val="WSBody-Just-51stLnIndnt"/>
        <w:rPr/>
      </w:pPr>
      <w:r>
        <w:rPr/>
        <w:t>WHEREAS, pursuant to the Contract and the ADA, WestLB has acquired certain rights in such gas turbine generator packages and equipment;</w:t>
      </w:r>
    </w:p>
    <w:p>
      <w:pPr>
        <w:pStyle w:val="WSBody-Just-51stLnIndnt"/>
        <w:rPr/>
      </w:pPr>
      <w:r>
        <w:rPr/>
        <w:t>WHEREAS, EBPH, Owner Trust and WestLB have entered into a Purchase Option Assignment and Assumption Agreement, dated as of November 10, 2000 (the “</w:t>
      </w:r>
      <w:r>
        <w:rPr>
          <w:u w:val="single"/>
        </w:rPr>
        <w:t>Original Purchase Agreement</w:t>
      </w:r>
      <w:r>
        <w:rPr/>
        <w:t>”), pursuant to which EBPH designated Owner Trust as its exclusive Designee for purposes of exercising the Purchase Option and reserved the right to later designate a substitute Designee for such purposes;</w:t>
      </w:r>
    </w:p>
    <w:p>
      <w:pPr>
        <w:pStyle w:val="WSBody-Just-51stLnIndnt"/>
        <w:rPr/>
      </w:pPr>
      <w:r>
        <w:rPr/>
        <w:t>WHEREAS, pursuant to the Original Purchase Agreement and the ADA, EBPH desires to designate Turbine Ltd. as Designee under the ADA in order to allow Turbine Ltd. to exercise the Purchase Option with respect to the Equipment identified on Schedule 1 attached hereto (the "</w:t>
      </w:r>
      <w:r>
        <w:rPr>
          <w:u w:val="single"/>
        </w:rPr>
        <w:t>Assigned Equipment</w:t>
      </w:r>
      <w:r>
        <w:rPr/>
        <w:t>") and all of the rights and obligations under the Contract related thereto as set forth on Schedule 2 attached hereto (the "</w:t>
      </w:r>
      <w:r>
        <w:rPr>
          <w:u w:val="single"/>
        </w:rPr>
        <w:t>Assigned Contract Rights</w:t>
      </w:r>
      <w:r>
        <w:rPr/>
        <w:t>");</w:t>
      </w:r>
    </w:p>
    <w:p>
      <w:pPr>
        <w:pStyle w:val="WSBody-Just-51stLnIndnt"/>
        <w:rPr/>
      </w:pPr>
      <w:r>
        <w:rPr/>
        <w:t>WHEREAS, Turbine Ltd. desires to exercise such Purchase Option and in connection therewith WestLB has agreed to assign to Turbine Ltd. all of WestLB's right, title and interest in, to and under the Assigned Equipment and the Assigned Contract Rights, provided that Turbine Ltd. agrees to assume and discharge all of WestLB's liabilities, obligations and contractual commitments under the Assigned Contract Rights and MHI releases WestLB therefrom; and</w:t>
      </w:r>
    </w:p>
    <w:p>
      <w:pPr>
        <w:pStyle w:val="WSBody-Just-51stLnIndnt"/>
        <w:rPr/>
      </w:pPr>
      <w:r>
        <w:rPr/>
        <w:t>WHEREAS, pursuant to the ADA and the Original Purchase Agreement, Turbine Ltd.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WSBody-Just-51stLnIndnt"/>
        <w:rPr/>
      </w:pPr>
      <w:r>
        <w:rPr/>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rPr/>
      </w:pPr>
      <w:r>
        <w:rPr/>
        <w:t>1.</w:t>
        <w:tab/>
      </w:r>
      <w:r>
        <w:rPr>
          <w:u w:val="single"/>
        </w:rPr>
        <w:t>Designation</w:t>
      </w:r>
      <w:r>
        <w:rPr/>
        <w:t xml:space="preserve">.  Effective on the Purchase Option Closing Date (as defined below), pursuant to </w:t>
      </w:r>
      <w:r>
        <w:rPr>
          <w:u w:val="single"/>
        </w:rPr>
        <w:t>Section 9</w:t>
      </w:r>
      <w:r>
        <w:rPr/>
        <w:t xml:space="preserve"> of the Original Purchase Agreement and </w:t>
      </w:r>
      <w:r>
        <w:rPr>
          <w:u w:val="single"/>
        </w:rPr>
        <w:t>Section 9.1</w:t>
      </w:r>
      <w:r>
        <w:rPr/>
        <w:t xml:space="preserve"> of the ADA, EBPH hereby designates Turbine Ltd. as the Designee and the entity that shall exercise the Purchase Option under the ADA with respect to the Assigned Equipment and the Assigned Contract Rights and Turbine Ltd. hereby accepts such designation.</w:t>
      </w:r>
    </w:p>
    <w:p>
      <w:pPr>
        <w:pStyle w:val="WSBodyStand-Just-11stLnIndnt"/>
        <w:rPr/>
      </w:pPr>
      <w:r>
        <w:rPr/>
        <w:t>2.</w:t>
        <w:tab/>
      </w:r>
      <w:r>
        <w:rPr>
          <w:u w:val="single"/>
        </w:rPr>
        <w:t>Exercise of Purchase Option</w:t>
      </w:r>
      <w:r>
        <w:rPr/>
        <w:t xml:space="preserve">.  Pursuant to </w:t>
      </w:r>
      <w:r>
        <w:rPr>
          <w:u w:val="single"/>
        </w:rPr>
        <w:t>Section 9.1</w:t>
      </w:r>
      <w:r>
        <w:rPr/>
        <w:t xml:space="preserve"> of the ADA, Turbine Ltd. hereby exercises the Purchase Option with respect to the Assigned Equipment and the Assigned Contract Rights and specifies December [__], 2000 (the “</w:t>
      </w:r>
      <w:r>
        <w:rPr>
          <w:u w:val="single"/>
        </w:rPr>
        <w:t>Purchase Option Closing Date</w:t>
      </w:r>
      <w:r>
        <w:rPr/>
        <w:t>”) as the date on which such Purchase Option shall be consummated.</w:t>
      </w:r>
    </w:p>
    <w:p>
      <w:pPr>
        <w:pStyle w:val="WSBodyStand-Just-11stLnIndnt"/>
        <w:rPr/>
      </w:pPr>
      <w:r>
        <w:rPr/>
        <w:t>3.</w:t>
        <w:tab/>
      </w:r>
      <w:r>
        <w:rPr>
          <w:u w:val="single"/>
        </w:rPr>
        <w:t>Payment of Purchase Price</w:t>
      </w:r>
      <w:r>
        <w:rPr/>
        <w:t>.  On the Purchase Option Closing Date as consideration for the Assigned Equipment and the Assigned Contract Rights, Turbine Ltd. agrees that it shall pay by wire transfer of immediately available funds an amount equal to the Termination Amount allocable to such Assigned Equipment and Assigned Contract Rights (calculated in accordance with the ADA and as agreed upon by EBPH and WestLB) to an account designated in writing by WestLB (the “</w:t>
      </w:r>
      <w:r>
        <w:rPr>
          <w:u w:val="single"/>
        </w:rPr>
        <w:t>Purchase Price</w:t>
      </w:r>
      <w:r>
        <w:rPr/>
        <w:t>”).</w:t>
      </w:r>
    </w:p>
    <w:p>
      <w:pPr>
        <w:pStyle w:val="WSBodyStand-Just-11stLnIndnt"/>
        <w:rPr/>
      </w:pPr>
      <w:r>
        <w:rPr/>
        <w:t>4.</w:t>
        <w:tab/>
      </w:r>
      <w:r>
        <w:rPr>
          <w:u w:val="single"/>
        </w:rPr>
        <w:t>Assignment</w:t>
      </w:r>
      <w:r>
        <w:rPr/>
        <w:t xml:space="preserve">. Effective upon the Purchase Option Closing Date, pursuant to </w:t>
      </w:r>
      <w:r>
        <w:rPr>
          <w:u w:val="single"/>
        </w:rPr>
        <w:t>Section 9.3</w:t>
      </w:r>
      <w:r>
        <w:rPr/>
        <w:t xml:space="preserve"> of the ADA, WestLB hereby sells, transfers and assigns to Turbine Ltd. all of WestLB's right, title and interest in, to and under the Assigned Equipment and the Assigned Contract Rights (the "</w:t>
      </w:r>
      <w:r>
        <w:rPr>
          <w:u w:val="single"/>
        </w:rPr>
        <w:t>Property</w:t>
      </w:r>
      <w:r>
        <w:rPr/>
        <w:t xml:space="preserve">")  </w:t>
      </w:r>
      <w:r>
        <w:rPr>
          <w:strike/>
        </w:rPr>
        <w:t>effective as of the date hereof</w:t>
      </w:r>
      <w:r>
        <w:rPr/>
        <w:t xml:space="preserve"> and upon the receipt by WestLB of the Purchase Price </w:t>
      </w:r>
      <w:r>
        <w:rPr>
          <w:u w:val="double"/>
        </w:rPr>
        <w:t>and the effectiveness of the consent of MHI to the assignment and assumption provided herein</w:t>
      </w:r>
      <w:r>
        <w:rPr/>
        <w:t>, which assignment is AS IS, WHERE IS, WITH ALL FAULTS OF ALL AND ANY KIND WHATSOEVER.</w:t>
      </w:r>
    </w:p>
    <w:p>
      <w:pPr>
        <w:pStyle w:val="WSBodyStand-Just-11stLnIndnt"/>
        <w:rPr/>
      </w:pPr>
      <w:r>
        <w:rPr/>
        <w:t>5.</w:t>
        <w:tab/>
      </w:r>
      <w:r>
        <w:rPr>
          <w:u w:val="single"/>
        </w:rPr>
        <w:t>Assumption; Release</w:t>
      </w:r>
      <w:r>
        <w:rPr/>
        <w:t>. Turbine Ltd. hereby expressly accepts the assignment set forth above and hereby assumes all of WestLB's liabilities, obligations and contractual commitments under the Assigned Contract Rights.  Turbine Ltd. acknowledges and agrees that WestLB is relieved from all liability under the Assigned Contract Rights</w:t>
      </w:r>
      <w:r>
        <w:rPr>
          <w:u w:val="double"/>
        </w:rPr>
        <w:t xml:space="preserve">. </w:t>
      </w:r>
      <w:r>
        <w:rPr>
          <w:strike/>
          <w:u w:val="double"/>
        </w:rPr>
        <w:t xml:space="preserve">, and Turbine Ltd. </w:t>
      </w:r>
      <w:r>
        <w:rPr>
          <w:u w:val="double"/>
        </w:rPr>
        <w:t>EBPH</w:t>
      </w:r>
      <w:r>
        <w:rPr/>
        <w:t xml:space="preserve">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ADA.  EBPH represents and warrants to WestLB that upon the consummation of the assignment and assumption contemplated herein </w:t>
      </w:r>
      <w:r>
        <w:rPr>
          <w:u w:val="double"/>
        </w:rPr>
        <w:t>and the delivery of the consent of MHI referred to in Section 4</w:t>
      </w:r>
      <w:r>
        <w:rPr/>
        <w:t xml:space="preserve"> </w:t>
      </w:r>
      <w:r>
        <w:rPr>
          <w:u w:val="double"/>
        </w:rPr>
        <w:t>hereof</w:t>
      </w:r>
      <w:r>
        <w:rPr/>
        <w:t>, pursuant to the terms of the Assigned Contract Rights, WestLB shall be released from all of its obligations under the Assigned Contract Rights.</w:t>
      </w:r>
    </w:p>
    <w:p>
      <w:pPr>
        <w:pStyle w:val="WSBodyStand-Just-11stLnIndnt"/>
        <w:rPr/>
      </w:pPr>
      <w:r>
        <w:rPr/>
        <w:t>6.</w:t>
        <w:tab/>
      </w:r>
      <w:r>
        <w:rPr>
          <w:u w:val="single"/>
        </w:rPr>
        <w:t>Representations and Warranties</w:t>
      </w:r>
      <w:r>
        <w:rPr/>
        <w:t>.  (a)  WestLB hereby represents and warrants to Turbine Ltd.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WSBodyStand-Just-11stLnIndnt"/>
        <w:rPr/>
      </w:pPr>
      <w:r>
        <w:rPr/>
        <w:t>7.</w:t>
        <w:tab/>
      </w:r>
      <w:r>
        <w:rPr>
          <w:u w:val="single"/>
        </w:rPr>
        <w:t>Waiver and Consent by WestLB</w:t>
      </w:r>
      <w:r>
        <w:rPr/>
        <w:t xml:space="preserve">.  By its execution below, WestLB hereby (i) waives the requirement set forth in </w:t>
      </w:r>
      <w:r>
        <w:rPr>
          <w:u w:val="single"/>
        </w:rPr>
        <w:t>Section 9.1</w:t>
      </w:r>
      <w:r>
        <w:rPr/>
        <w:t xml:space="preserve"> of the ADA that WestLB receive five (5) days’ prior written notice of (A) the designation of Turbine Ltd. as the Designee, and (B) the exercise by Turbine Ltd. of the Purchase Option referred to herein; and (ii) consents to the execution and delivery of this Agreement in lieu of the form of Purchase Option Assignment and Assumption Agreement attached to the ADA as </w:t>
      </w:r>
      <w:r>
        <w:rPr>
          <w:u w:val="single"/>
        </w:rPr>
        <w:t>Exhibit G</w:t>
      </w:r>
      <w:r>
        <w:rPr/>
        <w:t>.</w:t>
      </w:r>
    </w:p>
    <w:p>
      <w:pPr>
        <w:pStyle w:val="WSBodyStand-Just-11stLnIndnt"/>
        <w:rPr/>
      </w:pPr>
      <w:r>
        <w:rPr/>
        <w:t>8.</w:t>
        <w:tab/>
      </w:r>
      <w:r>
        <w:rPr>
          <w:u w:val="single"/>
        </w:rPr>
        <w:t>Original Purchase Agreement</w:t>
      </w:r>
      <w:r>
        <w:rPr/>
        <w:t xml:space="preserve">.  Upon the payment of the Purchase Price and the consummation of the Purchase Option hereunder on the Purchase Option Closing Date, the Original Purchase Agreement shall be deemed </w:t>
      </w:r>
      <w:r>
        <w:rPr>
          <w:strike/>
        </w:rPr>
        <w:t>superseded</w:t>
      </w:r>
      <w:r>
        <w:rPr/>
        <w:t xml:space="preserve"> </w:t>
      </w:r>
      <w:r>
        <w:rPr>
          <w:u w:val="double"/>
        </w:rPr>
        <w:t>terminated</w:t>
      </w:r>
      <w:r>
        <w:rPr/>
        <w:t xml:space="preserve"> hereby and of no further force or effect.</w:t>
      </w:r>
    </w:p>
    <w:p>
      <w:pPr>
        <w:pStyle w:val="WSBodyStand-Just-11stLnIndnt"/>
        <w:rPr/>
      </w:pPr>
      <w:r>
        <w:rPr/>
        <w:t>9.</w:t>
        <w:tab/>
      </w:r>
      <w:r>
        <w:rPr>
          <w:strike/>
          <w:u w:val="single"/>
        </w:rPr>
        <w:t>Binding Effect: Purposes</w:t>
      </w:r>
      <w:r>
        <w:rPr>
          <w:u w:val="single"/>
        </w:rPr>
        <w:t xml:space="preserve"> </w:t>
      </w:r>
      <w:r>
        <w:rPr>
          <w:u w:val="double"/>
        </w:rPr>
        <w:t>Tax Characterization.  The parties hereto agree that this agreement shall be governed by the intent provisions set forth in section 14.1 of the Construction Agency Agreement among Enron South America Turbine LLC, the Owner Trust and Wilmington Trust Company dated November 10, 2000.</w:t>
      </w:r>
    </w:p>
    <w:p>
      <w:pPr>
        <w:pStyle w:val="WSBodyStand-Just-11stLnIndnt"/>
        <w:rPr/>
      </w:pPr>
      <w:r>
        <w:rPr>
          <w:u w:val="double"/>
        </w:rPr>
        <w:t>10.</w:t>
      </w:r>
      <w:r>
        <w:rPr/>
        <w:tab/>
      </w:r>
      <w:r>
        <w:rPr>
          <w:u w:val="double"/>
        </w:rPr>
        <w:t>Binding Effect; Further Assurances</w:t>
      </w:r>
      <w:r>
        <w:rPr/>
        <w:t xml:space="preserve">.  This Agreement shall inure to the benefit of and shall be binding upon WestLB, Owner Trust, Turbine Ltd., and EBPH and their respective successors and assigns.  </w:t>
      </w:r>
      <w:r>
        <w:rPr>
          <w:u w:val="double"/>
          <w:lang w:val="en-CA"/>
        </w:rPr>
        <w:t xml:space="preserve">WestLB </w:t>
      </w:r>
      <w:r>
        <w:rPr>
          <w:u w:val="double"/>
        </w:rPr>
        <w:t>agrees to execute and deliver all further instruments and documents, and take all further action that may be necessary or that EBPH may reasonably request, in each case, at the sole cost and expense of EBPH, to reflect the discharge and release of the liens and security interests created by or pursuant to the ADA.</w:t>
      </w:r>
    </w:p>
    <w:p>
      <w:pPr>
        <w:pStyle w:val="WSBodyStand-Just-11stLnIndnt"/>
        <w:rPr/>
      </w:pPr>
      <w:r>
        <w:rPr>
          <w:u w:val="double"/>
        </w:rPr>
        <w:t>11</w:t>
      </w:r>
      <w:r>
        <w:rPr/>
        <w:t>.</w:t>
        <w:tab/>
      </w:r>
      <w:r>
        <w:rPr>
          <w:strike/>
          <w:u w:val="single"/>
        </w:rPr>
        <w:t>10</w:t>
      </w:r>
      <w:r>
        <w:rPr>
          <w:u w:val="single"/>
        </w:rPr>
        <w:t xml:space="preserve"> Counterpart Execution</w:t>
      </w:r>
      <w:r>
        <w:rPr/>
        <w:t>.  This Agreement may be executed in counterparts, each of which shall be fully effective as an original and all of which together shall constitute one and the same instrument.</w:t>
      </w:r>
    </w:p>
    <w:p>
      <w:pPr>
        <w:pStyle w:val="WSBodyStand-Just-11stLnIndnt"/>
        <w:rPr/>
      </w:pPr>
      <w:r>
        <w:rPr/>
        <w:t xml:space="preserve"> </w:t>
      </w:r>
      <w:r>
        <w:rPr>
          <w:strike/>
        </w:rPr>
        <w:t>11</w:t>
      </w:r>
    </w:p>
    <w:p>
      <w:pPr>
        <w:pStyle w:val="WSBodyStand-Just-11stLnIndnt"/>
        <w:rPr/>
      </w:pPr>
      <w:r>
        <w:rPr>
          <w:u w:val="double"/>
        </w:rPr>
        <w:t>12</w:t>
      </w:r>
      <w:r>
        <w:rPr/>
        <w:t>.</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Signature-35LftIndnt-RghtTab"/>
        <w:rPr/>
      </w:pPr>
      <w:r>
        <w:rPr/>
        <w:t>ENRON BRAZIL POWER HOLDINGS XVIII LTD.</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ENRON BRAZIL TURBINE [I][II] LTD.</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BRAZILIAN POWER DEVELOPMENT TRUST</w:t>
      </w:r>
    </w:p>
    <w:p>
      <w:pPr>
        <w:pStyle w:val="WSSignature-35LftIndnt-RghtTab"/>
        <w:rPr/>
      </w:pPr>
      <w:r>
        <w:rPr/>
        <w:t xml:space="preserve">By:  </w:t>
      </w:r>
      <w:r>
        <w:rPr>
          <w:strike/>
        </w:rPr>
        <w:t>Wilmington Trust Company</w:t>
      </w:r>
      <w:r>
        <w:rPr/>
        <w:t xml:space="preserve"> </w:t>
      </w:r>
      <w:r>
        <w:rPr>
          <w:u w:val="double"/>
        </w:rPr>
        <w:t>Enron South America Turbine L.L.C.</w:t>
      </w:r>
      <w:r>
        <w:rPr/>
        <w:t xml:space="preserve">, not in its individual capacity, but solely as </w:t>
      </w:r>
      <w:r>
        <w:rPr>
          <w:strike/>
        </w:rPr>
        <w:t>Trustee</w:t>
      </w:r>
      <w:r>
        <w:rPr/>
        <w:t xml:space="preserve"> </w:t>
      </w:r>
      <w:r>
        <w:rPr>
          <w:u w:val="double"/>
        </w:rPr>
        <w:t>Trust Administrator</w:t>
      </w:r>
      <w:r>
        <w:rPr/>
        <w:br/>
      </w:r>
    </w:p>
    <w:p>
      <w:pPr>
        <w:pStyle w:val="WSSignature-35LftIndnt-RghtTab"/>
        <w:tabs>
          <w:tab w:val="left" w:pos="5400" w:leader="none"/>
          <w:tab w:val="right" w:pos="9360" w:leader="underscore"/>
        </w:tabs>
        <w:rPr/>
      </w:pPr>
      <w:r>
        <w:rPr/>
        <w:t>By:</w:t>
        <w:tab/>
        <w:tab/>
        <w:br/>
        <w:t>Name:</w:t>
        <w:tab/>
        <w:br/>
        <w:t>Its:</w:t>
        <w:tab/>
        <w:tab/>
      </w:r>
      <w:r>
        <w:br w:type="page"/>
      </w:r>
    </w:p>
    <w:p>
      <w:pPr>
        <w:pStyle w:val="WSSignature-35LftIndnt-RghtTab"/>
        <w:tabs>
          <w:tab w:val="left" w:pos="5400" w:leader="none"/>
          <w:tab w:val="right" w:pos="9360" w:leader="underscore"/>
        </w:tabs>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Heading"/>
        <w:jc w:val="end"/>
        <w:rPr/>
      </w:pPr>
      <w:r>
        <w:rPr/>
        <w:t>Schedule 1</w:t>
      </w:r>
    </w:p>
    <w:p>
      <w:pPr>
        <w:pStyle w:val="CenteredHeading"/>
        <w:rPr/>
      </w:pPr>
      <w:r>
        <w:rPr/>
        <w:t>Assigned Equipment</w:t>
      </w:r>
    </w:p>
    <w:p>
      <w:pPr>
        <w:pStyle w:val="CenteredHeading"/>
        <w:rPr/>
      </w:pPr>
      <w:r>
        <w:rPr/>
      </w:r>
    </w:p>
    <w:p>
      <w:pPr>
        <w:pStyle w:val="WSBody-Just"/>
        <w:rPr/>
      </w:pPr>
      <w:r>
        <w:rPr/>
        <w:t>[Two (2)] M501F gas turbines and  associated auxiliaries, each defined as a [Unit] [Optional Unit] [Second Option Unit] under the Contract.</w:t>
      </w:r>
    </w:p>
    <w:p>
      <w:pPr>
        <w:pStyle w:val="WSBody-Just"/>
        <w:rPr/>
      </w:pPr>
      <w:r>
        <w:rPr/>
      </w:r>
    </w:p>
    <w:p>
      <w:pPr>
        <w:pStyle w:val="WSBody-Just"/>
        <w:rPr/>
      </w:pPr>
      <w:r>
        <w:rPr/>
      </w:r>
    </w:p>
    <w:p>
      <w:pPr>
        <w:pStyle w:val="WSBody-Just"/>
        <w:rPr/>
      </w:pPr>
      <w:r>
        <w:rPr/>
      </w:r>
    </w:p>
    <w:p>
      <w:pPr>
        <w:sectPr>
          <w:footerReference w:type="default" r:id="rId10"/>
          <w:footerReference w:type="first" r:id="rId11"/>
          <w:type w:val="nextPage"/>
          <w:pgSz w:w="12240" w:h="15840"/>
          <w:pgMar w:left="1440" w:right="1440" w:gutter="0" w:header="0" w:top="1440" w:footer="720" w:bottom="1440"/>
          <w:pgNumType w:start="1" w:fmt="decimal"/>
          <w:formProt w:val="false"/>
          <w:textDirection w:val="lrTb"/>
          <w:docGrid w:type="default" w:linePitch="360" w:charSpace="0"/>
        </w:sectPr>
        <w:pStyle w:val="WSBody-Just"/>
        <w:rPr/>
      </w:pPr>
      <w:r>
        <w:rPr/>
      </w:r>
    </w:p>
    <w:p>
      <w:pPr>
        <w:pStyle w:val="Heading"/>
        <w:jc w:val="end"/>
        <w:rPr/>
      </w:pPr>
      <w:r>
        <w:rPr/>
        <w:t>Schedule 2</w:t>
      </w:r>
    </w:p>
    <w:p>
      <w:pPr>
        <w:pStyle w:val="CenteredHeading"/>
        <w:rPr/>
      </w:pPr>
      <w:r>
        <w:rPr/>
        <w:t>Assigned Contract Rights</w:t>
      </w:r>
    </w:p>
    <w:p>
      <w:pPr>
        <w:pStyle w:val="WSBody-Just"/>
        <w:rPr/>
      </w:pPr>
      <w:r>
        <w:rPr/>
      </w:r>
    </w:p>
    <w:p>
      <w:pPr>
        <w:pStyle w:val="WSBody-Just"/>
        <w:rPr/>
      </w:pPr>
      <w:r>
        <w:rPr/>
        <w:t>All right, title and interest of WestLB in, to and under the Contract relating to the Assigned Equipment.</w:t>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r>
        <w:br w:type="page"/>
      </w:r>
    </w:p>
    <w:p>
      <w:pPr>
        <w:pStyle w:val="WSBody-Just"/>
        <w:rPr/>
      </w:pPr>
      <w:r>
        <w:rPr/>
        <w:t xml:space="preserve">This redlined draft, generated by CompareRite (TM) - The Instant Redliner, shows the differences between - </w:t>
      </w:r>
    </w:p>
    <w:p>
      <w:pPr>
        <w:pStyle w:val="WSBody-Just"/>
        <w:rPr/>
      </w:pPr>
      <w:r>
        <w:rPr/>
        <w:t>original document   : C:\DOCUME~1\BUNKS\LOCALS~1\TEMP\HOU_593669_3</w:t>
      </w:r>
    </w:p>
    <w:p>
      <w:pPr>
        <w:pStyle w:val="WSBody-Just"/>
        <w:rPr/>
      </w:pPr>
      <w:r>
        <w:rPr/>
        <w:t>and revised document: C:\DOCUME~1\BUNKS\LOCALS~1\TEMP\HOU_593669_4</w:t>
      </w:r>
    </w:p>
    <w:p>
      <w:pPr>
        <w:pStyle w:val="WSBody-Just"/>
        <w:rPr/>
      </w:pPr>
      <w:r>
        <w:rPr/>
      </w:r>
    </w:p>
    <w:p>
      <w:pPr>
        <w:pStyle w:val="WSBody-Just"/>
        <w:rPr/>
      </w:pPr>
      <w:r>
        <w:rPr/>
        <w:t>CompareRite found   10 change(s) in the text</w:t>
      </w:r>
    </w:p>
    <w:p>
      <w:pPr>
        <w:pStyle w:val="WSBody-Just"/>
        <w:rPr/>
      </w:pPr>
      <w:r>
        <w:rPr/>
      </w:r>
    </w:p>
    <w:p>
      <w:pPr>
        <w:pStyle w:val="WSBody-Just"/>
        <w:rPr/>
      </w:pPr>
      <w:r>
        <w:rPr/>
        <w:t xml:space="preserve">Deletions appear as Overstrike text </w:t>
      </w:r>
    </w:p>
    <w:p>
      <w:pPr>
        <w:pStyle w:val="WSBody-Just"/>
        <w:spacing w:before="0" w:after="240"/>
        <w:rPr/>
      </w:pPr>
      <w:r>
        <w:rPr/>
        <w:t xml:space="preserve">Additions appear as Double Underline text </w:t>
      </w:r>
    </w:p>
    <w:sectPr>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b/>
        <w:bCs/>
        <w:i/>
        <w:iCs/>
        <w:sz w:val="16"/>
        <w:szCs w:val="16"/>
      </w:rPr>
      <w:t>Blackline</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HOU:597267.1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HOU:597267.1 </w:t>
                    </w:r>
                    <w:r>
                      <w:rPr>
                        <w:rStyle w:val="DocID"/>
                        <w:sz w:val="16"/>
                        <w:szCs w:val="16"/>
                      </w:rPr>
                      <w:fldChar w:fldCharType="end"/>
                    </w:r>
                  </w:p>
                </w:txbxContent>
              </v:textbox>
              <w10:wrap type="square"/>
            </v:rect>
          </w:pict>
        </mc:Fallback>
      </mc:AlternateConten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sz w:val="20"/>
      </w:rPr>
    </w:pPr>
    <w:r>
      <w:rPr>
        <w:b/>
        <w:bCs/>
        <w:i/>
        <w:iCs/>
        <w:sz w:val="20"/>
      </w:rPr>
      <w:t>Blackline</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HOU:597267.1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HOU:597267.1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szCs w:val="18"/>
      </w:rPr>
    </w:pPr>
    <w:r>
      <w:rPr>
        <w:sz w:val="18"/>
        <w:szCs w:val="18"/>
      </w:rPr>
      <w:t>[Signature page to Purchase Option Assignment and Assumption Agreement]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HOU:593669.4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HOU:593669.4 </w:t>
                    </w:r>
                    <w:r>
                      <w:rPr>
                        <w:rStyle w:val="DocID"/>
                        <w:sz w:val="16"/>
                        <w:szCs w:val="16"/>
                      </w:rPr>
                      <w:fldChar w:fldCharType="end"/>
                    </w:r>
                  </w:p>
                </w:txbxContent>
              </v:textbox>
              <w10:wrap type="square"/>
            </v:rect>
          </w:pict>
        </mc:Fallback>
      </mc:AlternateContent>
    </w:r>
  </w:p>
  <w:p>
    <w:pPr>
      <w:pStyle w:val="Footer"/>
      <w:jc w:val="center"/>
      <w:rPr>
        <w:sz w:val="18"/>
        <w:szCs w:val="18"/>
      </w:rPr>
    </w:pPr>
    <w:r>
      <w:rPr>
        <w:sz w:val="18"/>
        <w:szCs w:val="18"/>
      </w:rPr>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1 -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HOU:593669.4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HOU:593669.4 </w:t>
                    </w:r>
                    <w:r>
                      <w:rPr>
                        <w:rStyle w:val="DocID"/>
                        <w:sz w:val="16"/>
                        <w:szCs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2 - 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12/8/00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DocXHeadingStrip"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bCs/>
      <w:sz w:val="32"/>
      <w:szCs w:val="32"/>
    </w:rPr>
  </w:style>
  <w:style w:type="paragraph" w:styleId="Heading2">
    <w:name w:val="heading 2"/>
    <w:basedOn w:val="Normal"/>
    <w:next w:val="Normal"/>
    <w:qFormat/>
    <w:pPr>
      <w:keepNext w:val="true"/>
      <w:numPr>
        <w:ilvl w:val="1"/>
        <w:numId w:val="1"/>
      </w:numPr>
      <w:spacing w:before="0" w:after="240"/>
      <w:outlineLvl w:val="1"/>
    </w:pPr>
    <w:rPr>
      <w:b/>
      <w:bCs/>
      <w:i/>
      <w:iCs/>
      <w:sz w:val="28"/>
      <w:szCs w:val="28"/>
    </w:rPr>
  </w:style>
  <w:style w:type="paragraph" w:styleId="Heading3">
    <w:name w:val="heading 3"/>
    <w:basedOn w:val="Normal"/>
    <w:next w:val="Normal"/>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spacing w:before="0" w:after="240"/>
      <w:ind w:hanging="0" w:start="720" w:end="0"/>
      <w:outlineLvl w:val="3"/>
    </w:pPr>
    <w:rPr>
      <w:b/>
      <w:bCs/>
    </w:rPr>
  </w:style>
  <w:style w:type="paragraph" w:styleId="Heading5">
    <w:name w:val="heading 5"/>
    <w:basedOn w:val="Normal"/>
    <w:next w:val="Normal"/>
    <w:qFormat/>
    <w:pPr>
      <w:numPr>
        <w:ilvl w:val="4"/>
        <w:numId w:val="1"/>
      </w:numPr>
      <w:spacing w:before="0" w:after="240"/>
      <w:ind w:hanging="0" w:start="720" w:end="0"/>
      <w:outlineLvl w:val="4"/>
    </w:pPr>
    <w:rPr>
      <w:i/>
      <w:iCs/>
    </w:rPr>
  </w:style>
  <w:style w:type="paragraph" w:styleId="Heading6">
    <w:name w:val="heading 6"/>
    <w:basedOn w:val="Normal"/>
    <w:next w:val="Normal"/>
    <w:qFormat/>
    <w:pPr>
      <w:numPr>
        <w:ilvl w:val="5"/>
        <w:numId w:val="1"/>
      </w:numPr>
      <w:spacing w:before="0" w:after="240"/>
      <w:outlineLvl w:val="5"/>
    </w:pPr>
    <w:rPr>
      <w:b/>
      <w:bCs/>
    </w:rPr>
  </w:style>
  <w:style w:type="paragraph" w:styleId="Heading7">
    <w:name w:val="heading 7"/>
    <w:basedOn w:val="Normal"/>
    <w:next w:val="Normal"/>
    <w:qFormat/>
    <w:pPr>
      <w:numPr>
        <w:ilvl w:val="6"/>
        <w:numId w:val="1"/>
      </w:numPr>
      <w:spacing w:before="0" w:after="240"/>
      <w:outlineLvl w:val="6"/>
    </w:pPr>
    <w:rPr>
      <w:b/>
      <w:bCs/>
      <w:i/>
      <w:iCs/>
    </w:rPr>
  </w:style>
  <w:style w:type="paragraph" w:styleId="Heading8">
    <w:name w:val="heading 8"/>
    <w:basedOn w:val="Normal"/>
    <w:next w:val="Normal"/>
    <w:qFormat/>
    <w:pPr>
      <w:numPr>
        <w:ilvl w:val="7"/>
        <w:numId w:val="1"/>
      </w:numPr>
      <w:spacing w:before="0" w:after="240"/>
      <w:outlineLvl w:val="7"/>
    </w:pPr>
    <w:rPr>
      <w:i/>
      <w:iCs/>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u w:val="none"/>
    </w:rPr>
  </w:style>
  <w:style w:type="character" w:styleId="DocID">
    <w:name w:val="DocID"/>
    <w:basedOn w:val="DefaultParagraphFont"/>
    <w:qFormat/>
    <w:rPr>
      <w:sz w:val="12"/>
      <w:szCs w:val="12"/>
    </w:rPr>
  </w:style>
  <w:style w:type="paragraph" w:styleId="Heading">
    <w:name w:val="Heading"/>
    <w:basedOn w:val="Normal"/>
    <w:next w:val="BodyTextFirstIndent"/>
    <w:qFormat/>
    <w:pPr>
      <w:spacing w:before="0" w:after="240"/>
      <w:jc w:val="center"/>
    </w:pPr>
    <w:rPr>
      <w:b/>
      <w:bCs/>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ind w:hanging="0" w:start="432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2000-12-09T19:19:00Z</dcterms:created>
  <dc:creator>A&amp;K</dc:creator>
  <dc:description/>
  <dc:language>en-CA</dc:language>
  <cp:lastModifiedBy>A&amp;K</cp:lastModifiedBy>
  <cp:lastPrinted>2000-12-09T15:49:00Z</cp:lastPrinted>
  <dcterms:modified xsi:type="dcterms:W3CDTF">2000-12-09T19:19:00Z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HOU:593669.4 </vt:lpwstr>
  </property>
</Properties>
</file>