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widowControl/>
        <w:ind w:hanging="0" w:start="0" w:end="-18"/>
        <w:jc w:val="both"/>
        <w:rPr/>
      </w:pPr>
      <w:r>
        <w:rPr>
          <w:b w:val="false"/>
          <w:sz w:val="16"/>
        </w:rPr>
        <w:t>This Subscriber Agreement sets forth the terms and conditions under which (i) LIMITrader Securities, Inc., with principal offices at 230 Park Avenue, 7</w:t>
      </w:r>
      <w:r>
        <w:rPr>
          <w:b w:val="false"/>
          <w:sz w:val="16"/>
          <w:vertAlign w:val="superscript"/>
        </w:rPr>
        <w:t>th</w:t>
      </w:r>
      <w:r>
        <w:rPr>
          <w:b w:val="false"/>
          <w:sz w:val="16"/>
        </w:rPr>
        <w:t xml:space="preserve"> Floor, New York, NY 10169 (LIMITrader Securities, Inc., together with its parent, subsidiaries and other affiliates, “LTS”), will grant, on a nonexclusive basis, to the undersigned institutional investor or securities broker/dealer (“Subscriber”) access to its electronic trading and execution system (“LIMITrader”); (ii) LTS will open a Receipt/Delivery Versus Payment (“RVP/DVP”) account for Subscriber, on a fully-disclosed basis through Bear Stearns Securities Corporation or another designated clearing agent under a clearing contract;  (iii) LTS will purchase from and sell to Subscriber fixed income and other securities; and (iv) LTS will make available to Subscriber, certain interactive computer services as specified below (the “Services”).</w:t>
      </w:r>
    </w:p>
    <w:p>
      <w:pPr>
        <w:pStyle w:val="Heading1"/>
        <w:widowControl/>
        <w:ind w:hanging="0" w:start="0"/>
        <w:rPr>
          <w:b w:val="false"/>
          <w:sz w:val="16"/>
        </w:rPr>
      </w:pPr>
      <w:r>
        <w:rPr>
          <w:b w:val="false"/>
          <w:sz w:val="16"/>
        </w:rPr>
      </w:r>
    </w:p>
    <w:p>
      <w:pPr>
        <w:pStyle w:val="Heading1"/>
        <w:widowControl/>
        <w:ind w:hanging="0" w:start="0"/>
        <w:rPr>
          <w:sz w:val="16"/>
        </w:rPr>
      </w:pPr>
      <w:r>
        <w:rPr>
          <w:sz w:val="16"/>
        </w:rPr>
        <w:t>General</w:t>
      </w:r>
    </w:p>
    <w:p>
      <w:pPr>
        <w:pStyle w:val="BodyText"/>
        <w:widowControl/>
        <w:rPr>
          <w:sz w:val="16"/>
        </w:rPr>
      </w:pPr>
      <w:r>
        <w:rPr>
          <w:sz w:val="16"/>
        </w:rPr>
        <w:t xml:space="preserve">The trading and clearance conventions used on LIMITrader are similar to those used in telephonic trading among institutional investors and broker/dealers.  LTS holds itself and each participant to the high industry standards and ethical conduct now required and expected from securities brokers, dealers and institutional investors in their dealings with each other. This means that each participant on the system will honor their trades, supervise their employees and agents and insure that all orders are accurate and authorized, and comply with all applicable securities regulations as they apply to their organization.  </w:t>
      </w:r>
    </w:p>
    <w:p>
      <w:pPr>
        <w:pStyle w:val="Normal"/>
        <w:widowControl/>
        <w:jc w:val="both"/>
        <w:rPr>
          <w:sz w:val="16"/>
        </w:rPr>
      </w:pPr>
      <w:r>
        <w:rPr>
          <w:sz w:val="16"/>
        </w:rPr>
      </w:r>
    </w:p>
    <w:p>
      <w:pPr>
        <w:pStyle w:val="Normal"/>
        <w:widowControl/>
        <w:jc w:val="both"/>
        <w:rPr>
          <w:sz w:val="16"/>
        </w:rPr>
      </w:pPr>
      <w:r>
        <w:rPr>
          <w:sz w:val="16"/>
        </w:rPr>
        <w:t xml:space="preserve">Because of the nature of an electronic trading and execution system, security of the information contained in the system and access to the system require additional efforts by LTS and Subscriber. </w:t>
      </w:r>
    </w:p>
    <w:p>
      <w:pPr>
        <w:pStyle w:val="Normal"/>
        <w:widowControl/>
        <w:jc w:val="both"/>
        <w:rPr>
          <w:sz w:val="16"/>
        </w:rPr>
      </w:pPr>
      <w:r>
        <w:rPr>
          <w:sz w:val="16"/>
        </w:rPr>
      </w:r>
    </w:p>
    <w:p>
      <w:pPr>
        <w:pStyle w:val="Normal"/>
        <w:widowControl/>
        <w:rPr>
          <w:b/>
          <w:sz w:val="16"/>
        </w:rPr>
      </w:pPr>
      <w:r>
        <w:rPr>
          <w:b/>
          <w:sz w:val="16"/>
        </w:rPr>
        <w:t>LTS agrees to:</w:t>
      </w:r>
    </w:p>
    <w:p>
      <w:pPr>
        <w:pStyle w:val="Normal"/>
        <w:widowControl/>
        <w:jc w:val="both"/>
        <w:rPr>
          <w:sz w:val="16"/>
        </w:rPr>
      </w:pPr>
      <w:r>
        <w:rPr>
          <w:sz w:val="16"/>
        </w:rPr>
        <w:t>Maintain confidentiality of Subscriber’s data and identity and will not make disclosure to any unauthorized third parties unless required by law, any regulatory agency, court order or other legal process.</w:t>
      </w:r>
    </w:p>
    <w:p>
      <w:pPr>
        <w:pStyle w:val="Normal"/>
        <w:widowControl/>
        <w:jc w:val="both"/>
        <w:rPr>
          <w:sz w:val="16"/>
        </w:rPr>
      </w:pPr>
      <w:r>
        <w:rPr>
          <w:sz w:val="16"/>
        </w:rPr>
      </w:r>
    </w:p>
    <w:p>
      <w:pPr>
        <w:pStyle w:val="Normal"/>
        <w:widowControl/>
        <w:jc w:val="both"/>
        <w:rPr>
          <w:sz w:val="16"/>
        </w:rPr>
      </w:pPr>
      <w:r>
        <w:rPr>
          <w:sz w:val="16"/>
        </w:rPr>
        <w:t xml:space="preserve">Employ appropriate and commercially available software to prevent unauthorized access to the data within the system and to authenticate users accessing the system. </w:t>
      </w:r>
    </w:p>
    <w:p>
      <w:pPr>
        <w:pStyle w:val="Normal"/>
        <w:widowControl/>
        <w:jc w:val="both"/>
        <w:rPr>
          <w:sz w:val="16"/>
        </w:rPr>
      </w:pPr>
      <w:r>
        <w:rPr>
          <w:sz w:val="16"/>
        </w:rPr>
      </w:r>
    </w:p>
    <w:p>
      <w:pPr>
        <w:pStyle w:val="Normal"/>
        <w:widowControl/>
        <w:rPr>
          <w:b/>
          <w:sz w:val="16"/>
        </w:rPr>
      </w:pPr>
      <w:r>
        <w:rPr>
          <w:sz w:val="16"/>
        </w:rPr>
        <w:t>License the use of LIMITrader to its Subscriber for trading in certain securities (as and when they become available for trading through the system, collectively, “Securities”) only to those who sign this Subscriber Agreement.</w:t>
      </w:r>
    </w:p>
    <w:p>
      <w:pPr>
        <w:pStyle w:val="Normal"/>
        <w:widowControl/>
        <w:rPr>
          <w:b/>
          <w:sz w:val="16"/>
        </w:rPr>
      </w:pPr>
      <w:r>
        <w:rPr>
          <w:b/>
          <w:sz w:val="16"/>
        </w:rPr>
      </w:r>
    </w:p>
    <w:p>
      <w:pPr>
        <w:pStyle w:val="Normal"/>
        <w:widowControl/>
        <w:rPr>
          <w:b/>
          <w:sz w:val="16"/>
        </w:rPr>
      </w:pPr>
      <w:r>
        <w:rPr>
          <w:b/>
          <w:sz w:val="16"/>
        </w:rPr>
        <w:t>1. Services Through LTS:</w:t>
      </w:r>
    </w:p>
    <w:p>
      <w:pPr>
        <w:pStyle w:val="Normal"/>
        <w:widowControl/>
        <w:jc w:val="both"/>
        <w:rPr>
          <w:b/>
          <w:sz w:val="16"/>
        </w:rPr>
      </w:pPr>
      <w:r>
        <w:rPr>
          <w:b/>
          <w:sz w:val="16"/>
        </w:rPr>
      </w:r>
    </w:p>
    <w:p>
      <w:pPr>
        <w:pStyle w:val="Normal"/>
        <w:widowControl/>
        <w:jc w:val="both"/>
        <w:rPr/>
      </w:pPr>
      <w:r>
        <w:rPr>
          <w:b/>
          <w:sz w:val="16"/>
        </w:rPr>
        <w:t xml:space="preserve">a. </w:t>
      </w:r>
      <w:r>
        <w:rPr>
          <w:b/>
          <w:sz w:val="16"/>
          <w:u w:val="single"/>
        </w:rPr>
        <w:t>Scope of Services</w:t>
      </w:r>
      <w:r>
        <w:rPr>
          <w:sz w:val="16"/>
        </w:rPr>
        <w:t>.  LTS will make available to Subscriber the Services which will (i) allow Subscriber to enter indications of interest and orders for the purchase or sale of Securities via electronic transmission through LIMITrader; (ii) match Subscriber orders with contemporaneous contra orders of other LIMITrader subscribers; (iii) facilitate the execution of Subscriber’s orders; and (iv) allow Subscriber to store on LIMITrader certain information concerning its orders, indications of interest, and trades executed through LTS. LTS grants to Subscriber a revocable, nonexclusive license to access LIMITrader using LIMITrader’s proprietary software on Subscriber’s hardware.</w:t>
      </w:r>
    </w:p>
    <w:p>
      <w:pPr>
        <w:pStyle w:val="Normal"/>
        <w:widowControl/>
        <w:rPr>
          <w:sz w:val="16"/>
        </w:rPr>
      </w:pPr>
      <w:r>
        <w:rPr>
          <w:sz w:val="16"/>
        </w:rPr>
      </w:r>
    </w:p>
    <w:p>
      <w:pPr>
        <w:pStyle w:val="Normal"/>
        <w:widowControl/>
        <w:jc w:val="both"/>
        <w:rPr/>
      </w:pPr>
      <w:r>
        <w:rPr>
          <w:b/>
          <w:sz w:val="16"/>
        </w:rPr>
        <w:t xml:space="preserve">b.  </w:t>
      </w:r>
      <w:r>
        <w:rPr>
          <w:b/>
          <w:sz w:val="16"/>
          <w:u w:val="single"/>
        </w:rPr>
        <w:t>Password, PIN, and Security Code</w:t>
      </w:r>
      <w:r>
        <w:rPr>
          <w:sz w:val="16"/>
        </w:rPr>
        <w:t>.  Subscriber will designate and communicate to LTS, in writing, the names of its officers, agents or employees who are authorized by Subscriber to access LIMITrader and use the Services on Subscriber’s behalf (“Authorized Persons”).  At the request of Subscriber, LTS will issue one or more passwords (a “User ID”) to Subscriber’s Authorized Persons.  Subscriber’s Authorized Persons will be the only authorized users of the Services under this Subscriber Agreement.  Subscriber will take appropriate steps to insure that its Authorized Persons will use the User IDs and other security procedures established by LTS. Subscriber will immediately notify LTS of any unauthorized use of its User IDs or violation of applicable security procedures, including notification to revoke access from any Authorized Person.</w:t>
      </w:r>
    </w:p>
    <w:p>
      <w:pPr>
        <w:pStyle w:val="Normal"/>
        <w:widowControl/>
        <w:jc w:val="both"/>
        <w:rPr>
          <w:sz w:val="16"/>
        </w:rPr>
      </w:pPr>
      <w:r>
        <w:rPr>
          <w:sz w:val="16"/>
        </w:rPr>
      </w:r>
    </w:p>
    <w:p>
      <w:pPr>
        <w:pStyle w:val="Normal"/>
        <w:widowControl/>
        <w:jc w:val="both"/>
        <w:rPr>
          <w:sz w:val="16"/>
        </w:rPr>
      </w:pPr>
      <w:r>
        <w:rPr>
          <w:sz w:val="16"/>
        </w:rPr>
        <w:t>Subscriber will designate a primary principal and, where applicable, secondary principal that have overall authority to authorize and deny individual access or freeze positions.</w:t>
      </w:r>
    </w:p>
    <w:p>
      <w:pPr>
        <w:pStyle w:val="Normal"/>
        <w:widowControl/>
        <w:jc w:val="both"/>
        <w:rPr>
          <w:sz w:val="16"/>
        </w:rPr>
      </w:pPr>
      <w:r>
        <w:rPr>
          <w:sz w:val="16"/>
        </w:rPr>
      </w:r>
    </w:p>
    <w:p>
      <w:pPr>
        <w:pStyle w:val="Normal"/>
        <w:widowControl/>
        <w:jc w:val="both"/>
        <w:rPr/>
      </w:pPr>
      <w:r>
        <w:rPr>
          <w:b/>
          <w:sz w:val="16"/>
        </w:rPr>
        <w:t xml:space="preserve">c.  </w:t>
      </w:r>
      <w:r>
        <w:rPr>
          <w:b/>
          <w:sz w:val="16"/>
          <w:u w:val="single"/>
        </w:rPr>
        <w:t>Subscriber’s Representations and Agreements in Connection with Purchase and Sale Orders.</w:t>
      </w:r>
      <w:r>
        <w:rPr>
          <w:sz w:val="16"/>
        </w:rPr>
        <w:t xml:space="preserve">  Subscriber agrees that, in giving or transmitting an order to sell any Security via LIMITrader or otherwise, it will deliver such security as required by LTS or its clearing agent by settlement date.  If LTS effects a sale of any security at Subscriber’s direction and is unable to make delivery to the purchaser because of Subscriber’s failure to supply such security, then LTS is authorized, following notice to Subscriber, to purchase or borrow any such security necessary to make delivery thereof, </w:t>
      </w:r>
      <w:r>
        <w:rPr>
          <w:i/>
          <w:sz w:val="16"/>
        </w:rPr>
        <w:t>even if the purchase or borrowing is prior to the minimum buy in dates prescribed by regulation</w:t>
      </w:r>
      <w:r>
        <w:rPr>
          <w:sz w:val="16"/>
        </w:rPr>
        <w:t xml:space="preserve">.  Subscriber agrees that, in giving or transmitting an order to purchase any Security via LIMITrader or otherwise, it will  make payment for such security as required by LTS or its clearing agent by settlement date.  If LTS effects a purchase of any security at Subscriber’s direction and Subscriber fails to make required payments for such security, then LTS is authorized, following notice to Subscriber, to sell any such security, </w:t>
      </w:r>
      <w:r>
        <w:rPr>
          <w:i/>
          <w:sz w:val="16"/>
        </w:rPr>
        <w:t>even if the sale is prior to the minimum buy in dates prescribed by regulation</w:t>
      </w:r>
      <w:r>
        <w:rPr>
          <w:sz w:val="16"/>
        </w:rPr>
        <w:t xml:space="preserve">.  In any such event, Subscriber will be responsible for any loss that LTS may sustain thereby and any premium that it may be required to pay, and for any loss that LTS may sustain because of its inability to purchase, borrow or sell (as appropriate) the security. Subscriber also represents that, in giving or transmitting an order to purchase any security via LIMITrader </w:t>
      </w:r>
      <w:r>
        <w:rPr>
          <w:strike/>
          <w:sz w:val="16"/>
        </w:rPr>
        <w:t>or otherwise</w:t>
      </w:r>
      <w:r>
        <w:rPr>
          <w:sz w:val="16"/>
        </w:rPr>
        <w:t>, the security is a permitted investment under all applicable laws to which Subscriber or the account designated by Subscriber for delivery is or may be subject from time to time, and that Subscriber or any such designated account is a “qualified institutional buyer” (as such term is defined in Rule 144A under the Securities Act of 1933) if the transfer of the security being purchased is limited to such qualified institutional buyers.</w:t>
      </w:r>
    </w:p>
    <w:p>
      <w:pPr>
        <w:pStyle w:val="Normal"/>
        <w:widowControl/>
        <w:jc w:val="both"/>
        <w:rPr>
          <w:sz w:val="16"/>
        </w:rPr>
      </w:pPr>
      <w:r>
        <w:rPr>
          <w:sz w:val="16"/>
        </w:rPr>
      </w:r>
    </w:p>
    <w:p>
      <w:pPr>
        <w:pStyle w:val="Normal"/>
        <w:widowControl/>
        <w:jc w:val="both"/>
        <w:rPr/>
      </w:pPr>
      <w:r>
        <w:rPr>
          <w:sz w:val="16"/>
        </w:rPr>
        <w:t xml:space="preserve">Subscriber acknowledges that LTS will not be making any recommendations to Subscriber and that Subscriber and any account designated by Subscriber for delivery or payment will understand the risks of the transaction and will be able to bear the risks associated therewith.  Subscriber agrees that it will not sell to LTS any security that may not be retransferred by LTS without limitation (other than limitations imposed by Rule 144A </w:t>
      </w:r>
      <w:r>
        <w:rPr>
          <w:strike/>
          <w:sz w:val="16"/>
        </w:rPr>
        <w:t>)</w:t>
      </w:r>
      <w:r>
        <w:rPr>
          <w:sz w:val="16"/>
        </w:rPr>
        <w:t xml:space="preserve"> </w:t>
      </w:r>
      <w:r>
        <w:rPr>
          <w:b/>
          <w:sz w:val="16"/>
          <w:u w:val="double"/>
        </w:rPr>
        <w:t>or other applicable laws)</w:t>
      </w:r>
      <w:r>
        <w:rPr>
          <w:sz w:val="16"/>
        </w:rPr>
        <w:t>.  Subscriber further acknowledges that all information regarding the terms of Securities, yields and spreads contained in the LIMITrader system is provided either by other subscribers or third-party data sources, and not by LTS.  Subscriber agrees that it is solely responsible for verifying such information and LTS will not be liable for any misstatement or omissions relating thereto.</w:t>
      </w:r>
    </w:p>
    <w:p>
      <w:pPr>
        <w:pStyle w:val="Normal"/>
        <w:widowControl/>
        <w:jc w:val="both"/>
        <w:rPr>
          <w:b/>
          <w:sz w:val="16"/>
          <w:u w:val="single"/>
        </w:rPr>
      </w:pPr>
      <w:r>
        <w:rPr>
          <w:b/>
          <w:sz w:val="16"/>
          <w:u w:val="single"/>
        </w:rPr>
      </w:r>
    </w:p>
    <w:p>
      <w:pPr>
        <w:pStyle w:val="Normal"/>
        <w:widowControl/>
        <w:jc w:val="both"/>
        <w:rPr/>
      </w:pPr>
      <w:r>
        <w:rPr>
          <w:b/>
          <w:sz w:val="16"/>
        </w:rPr>
        <w:t xml:space="preserve">d. </w:t>
      </w:r>
      <w:r>
        <w:rPr>
          <w:b/>
          <w:sz w:val="16"/>
          <w:u w:val="single"/>
        </w:rPr>
        <w:t>Confidentiality of Information Available through LIMITrader</w:t>
      </w:r>
      <w:r>
        <w:rPr>
          <w:sz w:val="16"/>
        </w:rPr>
        <w:t xml:space="preserve">.  Subscriber agrees that the information made available to it through LIMITrader is and will remain the sole property of LTS or third party vendors that have provided information for inclusion on LIMITrader.  Subscriber agrees to keep confidential and not publish, broadcast, retransmit, reproduce, commercially exploit, or otherwise disseminate the information or Services made available to it through LIMITrader pursuant to this Agreement </w:t>
      </w:r>
      <w:r>
        <w:rPr>
          <w:b/>
          <w:sz w:val="16"/>
          <w:u w:val="double"/>
        </w:rPr>
        <w:t xml:space="preserve">except to the extent such information (a) is or may become generally available to the public; (b) is known to Subscriber at the time of disclosure or is thereafter acquired at any time from a source other than LTS or LIMITrader; (c) is hereafter independently developed by Subscriber or (d) is required to be disclosed in order to comply with any applicable law, order, regulation or ruling. </w:t>
      </w:r>
    </w:p>
    <w:p>
      <w:pPr>
        <w:pStyle w:val="Normal"/>
        <w:widowControl/>
        <w:jc w:val="both"/>
        <w:rPr>
          <w:b/>
          <w:sz w:val="16"/>
          <w:u w:val="double"/>
        </w:rPr>
      </w:pPr>
      <w:r>
        <w:rPr>
          <w:b/>
          <w:sz w:val="16"/>
          <w:u w:val="double"/>
        </w:rPr>
      </w:r>
    </w:p>
    <w:p>
      <w:pPr>
        <w:pStyle w:val="Normal"/>
        <w:widowControl/>
        <w:jc w:val="both"/>
        <w:rPr/>
      </w:pPr>
      <w:r>
        <w:rPr>
          <w:b/>
          <w:sz w:val="16"/>
          <w:u w:val="double"/>
        </w:rPr>
        <w:t>LTS acknowledges that various affiliates of Subscriber already own and operate other trading facilities such as EnronOnline and Clickpaper.com which already contain features similar to that of the LIMITrader.  LTS acknowledges that Subscriber or its affiliates have several other trading facilities planned which are currently not operational but which may contain features similar to that of the LIMITrader</w:t>
      </w:r>
      <w:r>
        <w:rPr>
          <w:sz w:val="16"/>
        </w:rPr>
        <w:t>.</w:t>
      </w:r>
    </w:p>
    <w:p>
      <w:pPr>
        <w:pStyle w:val="BodyTextIndent"/>
        <w:widowControl/>
        <w:ind w:start="0" w:end="0"/>
        <w:rPr>
          <w:b/>
          <w:sz w:val="16"/>
        </w:rPr>
      </w:pPr>
      <w:r>
        <w:rPr>
          <w:b/>
          <w:sz w:val="16"/>
        </w:rPr>
      </w:r>
    </w:p>
    <w:p>
      <w:pPr>
        <w:pStyle w:val="BodyTextIndent"/>
        <w:widowControl/>
        <w:ind w:start="0" w:end="0"/>
        <w:rPr/>
      </w:pPr>
      <w:r>
        <w:rPr>
          <w:b/>
        </w:rPr>
        <w:t xml:space="preserve">e. </w:t>
      </w:r>
      <w:r>
        <w:rPr>
          <w:b/>
          <w:u w:val="single"/>
        </w:rPr>
        <w:t>Suspension of Services.</w:t>
      </w:r>
      <w:r>
        <w:rPr/>
        <w:t xml:space="preserve">  Subscriber agrees that LTS may suspend Subscriber’s use of LIMITrader or the related services at any time, without prior notice to Subscriber, if (i) Subscriber breaches this Agreement </w:t>
      </w:r>
      <w:r>
        <w:rPr>
          <w:b/>
          <w:u w:val="double"/>
        </w:rPr>
        <w:t>and such breach is continuing</w:t>
      </w:r>
      <w:r>
        <w:rPr/>
        <w:t>, including without limitation by failing to pay any required fees to LTS; or (ii) Subscriber’s use of LIMITrader or related sources jeopardizes the proper and efficient operation of LIMITrader.  Subscriber acknowledges and agrees that if, following notice to Subscriber, LTS suspends Subscriber’s use of LIMITrader, Subscriber’s open orders may be canceled by LTS.</w:t>
      </w:r>
    </w:p>
    <w:p>
      <w:pPr>
        <w:pStyle w:val="BodyTextIndent"/>
        <w:widowControl/>
        <w:ind w:start="0" w:end="0"/>
        <w:rPr>
          <w:b/>
        </w:rPr>
      </w:pPr>
      <w:r>
        <w:rPr>
          <w:b/>
        </w:rPr>
      </w:r>
    </w:p>
    <w:p>
      <w:pPr>
        <w:pStyle w:val="Normal"/>
        <w:widowControl/>
        <w:jc w:val="both"/>
        <w:rPr>
          <w:sz w:val="16"/>
        </w:rPr>
      </w:pPr>
      <w:r>
        <w:rPr>
          <w:b/>
          <w:sz w:val="16"/>
        </w:rPr>
        <w:t xml:space="preserve">2. </w:t>
      </w:r>
      <w:r>
        <w:rPr>
          <w:b/>
          <w:sz w:val="16"/>
          <w:u w:val="single"/>
        </w:rPr>
        <w:t>General Provisions Governing LTS’ Services</w:t>
      </w:r>
      <w:r>
        <w:rPr>
          <w:b/>
          <w:sz w:val="16"/>
        </w:rPr>
        <w:t>.</w:t>
      </w:r>
    </w:p>
    <w:p>
      <w:pPr>
        <w:pStyle w:val="Normal"/>
        <w:widowControl/>
        <w:jc w:val="both"/>
        <w:rPr>
          <w:sz w:val="16"/>
        </w:rPr>
      </w:pPr>
      <w:r>
        <w:rPr>
          <w:sz w:val="16"/>
        </w:rPr>
      </w:r>
    </w:p>
    <w:p>
      <w:pPr>
        <w:pStyle w:val="Normal"/>
        <w:widowControl/>
        <w:jc w:val="both"/>
        <w:rPr/>
      </w:pPr>
      <w:r>
        <w:rPr>
          <w:b/>
          <w:sz w:val="16"/>
        </w:rPr>
        <w:t>a. Applicable Laws and Regulations.</w:t>
      </w:r>
      <w:r>
        <w:rPr>
          <w:sz w:val="16"/>
        </w:rPr>
        <w:t xml:space="preserve">  All of Subscriber’s transactions will be subject to all applicable laws and the rules and regulations of applicable federal, state and self-regulatory agencies, including, but not limited to, the SEC, the Board of Governors of the Federal Reserve System, the National Association of Securities Dealers, Inc. (NASD), Municipal Securities Rulemaking Board (MSRB) and the constitution, rules and customs of the exchanges, markets and clearing agencies where transactions are executed, cleared, and settled for Subscriber’s account.  Subscriber understands that Subscriber’s account is carried on a fully-disclosed basis by Bear Stearns Securities Corporation, LTS’ clearing agent, under a clearing contract with them.  Bear Stearns Securities Corporation or its designated successor may, in its sole discretion, accept, reject, or continue to carry Subscriber’s account. Subscriber </w:t>
      </w:r>
      <w:r>
        <w:rPr>
          <w:b/>
          <w:sz w:val="16"/>
          <w:u w:val="double"/>
        </w:rPr>
        <w:t>acknowledges that LTS</w:t>
      </w:r>
      <w:r>
        <w:rPr>
          <w:sz w:val="16"/>
        </w:rPr>
        <w:t xml:space="preserve"> is subject to the rules and standards of Bear, Stearns Securities Corporation (or successor) with respect to transactions cleared through this firm.</w:t>
      </w:r>
    </w:p>
    <w:p>
      <w:pPr>
        <w:pStyle w:val="Normal"/>
        <w:widowControl/>
        <w:jc w:val="both"/>
        <w:rPr>
          <w:b/>
          <w:sz w:val="16"/>
        </w:rPr>
      </w:pPr>
      <w:r>
        <w:rPr>
          <w:b/>
          <w:sz w:val="16"/>
        </w:rPr>
      </w:r>
    </w:p>
    <w:p>
      <w:pPr>
        <w:pStyle w:val="Normal"/>
        <w:widowControl/>
        <w:jc w:val="both"/>
        <w:rPr/>
      </w:pPr>
      <w:r>
        <w:rPr>
          <w:b/>
          <w:sz w:val="16"/>
        </w:rPr>
        <w:t>b. Partial Delivery of Securities.</w:t>
      </w:r>
      <w:r>
        <w:rPr>
          <w:sz w:val="16"/>
        </w:rPr>
        <w:t xml:space="preserve"> Subscriber or its agent agrees to receive securities against payment in an amount equal to an execution confirmed to Subscriber, which may represent only part of a larger order executed.</w:t>
      </w:r>
    </w:p>
    <w:p>
      <w:pPr>
        <w:pStyle w:val="Normal"/>
        <w:widowControl/>
        <w:jc w:val="both"/>
        <w:rPr>
          <w:sz w:val="16"/>
        </w:rPr>
      </w:pPr>
      <w:r>
        <w:rPr>
          <w:sz w:val="16"/>
        </w:rPr>
      </w:r>
    </w:p>
    <w:p>
      <w:pPr>
        <w:pStyle w:val="Normal"/>
        <w:widowControl/>
        <w:jc w:val="both"/>
        <w:rPr/>
      </w:pPr>
      <w:r>
        <w:rPr>
          <w:b/>
          <w:sz w:val="16"/>
        </w:rPr>
        <w:t>c. Resolution of Discrepancies.</w:t>
      </w:r>
      <w:r>
        <w:rPr>
          <w:sz w:val="16"/>
        </w:rPr>
        <w:t xml:space="preserve">  </w:t>
      </w:r>
      <w:r>
        <w:rPr>
          <w:b/>
          <w:sz w:val="16"/>
          <w:u w:val="double"/>
        </w:rPr>
        <w:t>In the event of a discrepancy,</w:t>
      </w:r>
      <w:r>
        <w:rPr>
          <w:sz w:val="16"/>
        </w:rPr>
        <w:t xml:space="preserve"> Subscriber agrees to instruct its agent bank(s) to receive or deliver the securities described or the confirmation, unless a discrepancy in the payment exceeds $50.00.  LTS and Subscriber agree to resolve any such discrepancy directly within a reasonable time after settlement.</w:t>
      </w:r>
    </w:p>
    <w:p>
      <w:pPr>
        <w:pStyle w:val="Normal"/>
        <w:widowControl/>
        <w:jc w:val="both"/>
        <w:rPr>
          <w:sz w:val="16"/>
        </w:rPr>
      </w:pPr>
      <w:r>
        <w:rPr>
          <w:sz w:val="16"/>
        </w:rPr>
      </w:r>
    </w:p>
    <w:p>
      <w:pPr>
        <w:pStyle w:val="Normal"/>
        <w:widowControl/>
        <w:jc w:val="both"/>
        <w:rPr/>
      </w:pPr>
      <w:r>
        <w:rPr>
          <w:b/>
          <w:sz w:val="16"/>
        </w:rPr>
        <w:t>d. Deposits on Transactions.</w:t>
      </w:r>
      <w:r>
        <w:rPr>
          <w:sz w:val="16"/>
        </w:rPr>
        <w:t xml:space="preserve">  </w:t>
      </w:r>
      <w:r>
        <w:rPr>
          <w:strike/>
          <w:sz w:val="16"/>
        </w:rPr>
        <w:t>If at any time either LTS or the clearing broker considers it necessary for its protection, either LTS or the clearing broker may require Subscriber to deposit cash or collateral in Subscriber’s account to assure due performance by Subscriber of its open contractual commitments</w:t>
      </w:r>
      <w:r>
        <w:rPr>
          <w:sz w:val="16"/>
        </w:rPr>
        <w:t xml:space="preserve"> </w:t>
      </w:r>
      <w:r>
        <w:rPr>
          <w:b/>
          <w:sz w:val="16"/>
          <w:u w:val="double"/>
        </w:rPr>
        <w:t>Intentionally Deleted</w:t>
      </w:r>
      <w:r>
        <w:rPr>
          <w:sz w:val="16"/>
        </w:rPr>
        <w:t xml:space="preserve">. </w:t>
      </w:r>
    </w:p>
    <w:p>
      <w:pPr>
        <w:pStyle w:val="Normal"/>
        <w:widowControl/>
        <w:jc w:val="both"/>
        <w:rPr>
          <w:sz w:val="16"/>
        </w:rPr>
      </w:pPr>
      <w:r>
        <w:rPr>
          <w:sz w:val="16"/>
        </w:rPr>
      </w:r>
    </w:p>
    <w:p>
      <w:pPr>
        <w:pStyle w:val="Normal"/>
        <w:widowControl/>
        <w:jc w:val="both"/>
        <w:rPr/>
      </w:pPr>
      <w:r>
        <w:rPr>
          <w:b/>
          <w:sz w:val="16"/>
        </w:rPr>
        <w:t>e. Cancellations and Liquidation of Orders</w:t>
      </w:r>
      <w:r>
        <w:rPr>
          <w:sz w:val="16"/>
        </w:rPr>
        <w:t>.  LTS is authorized in the event that Subscriber becomes insolvent or is the subject of a proceeding commenced under the U.S. Bankruptcy code, or whenever LTS, in its sole discretion, deems it necessary for its protection, without notice to Subscriber, to cancel or liquidate all outstanding transactions and to offset any indebtedness in Subscriber’s account against any other account Subscriber may have (either individually or jointly with others).  Subscriber acknowledges that in the event any good delivery to the designated bank is refused, LTS may be compelled to cancel or liquidate the transactions pursuant to provisions of Regulation T of the Board of Governors of the Federal Reserve System.  Subscriber understands that Subscriber will be liable to LTS, and Subscriber agrees to promptly pay LTS for any loss and costs resulting from such cancellations or liquidation of orders.</w:t>
      </w:r>
    </w:p>
    <w:p>
      <w:pPr>
        <w:pStyle w:val="Normal"/>
        <w:widowControl/>
        <w:jc w:val="both"/>
        <w:rPr>
          <w:sz w:val="16"/>
        </w:rPr>
      </w:pPr>
      <w:r>
        <w:rPr>
          <w:sz w:val="16"/>
        </w:rPr>
      </w:r>
    </w:p>
    <w:p>
      <w:pPr>
        <w:pStyle w:val="Normal"/>
        <w:widowControl/>
        <w:jc w:val="both"/>
        <w:rPr/>
      </w:pPr>
      <w:r>
        <w:rPr>
          <w:b/>
          <w:sz w:val="16"/>
        </w:rPr>
        <w:t>f. Required Subscriber Hardware</w:t>
      </w:r>
      <w:r>
        <w:rPr>
          <w:sz w:val="16"/>
        </w:rPr>
        <w:t>.  Subscriber shall be solely responsible, at its expense, for the purchase, repair, and maintenance of the computer equipment and related hardware (“Hardware”) conforming to the specifications or requirements of software associated with the Services (the “Software”) as identified by LTS from time to time and for all telecommunications expenses.</w:t>
      </w:r>
    </w:p>
    <w:p>
      <w:pPr>
        <w:pStyle w:val="Normal"/>
        <w:widowControl/>
        <w:jc w:val="both"/>
        <w:rPr>
          <w:sz w:val="16"/>
        </w:rPr>
      </w:pPr>
      <w:r>
        <w:rPr>
          <w:sz w:val="16"/>
        </w:rPr>
      </w:r>
    </w:p>
    <w:p>
      <w:pPr>
        <w:pStyle w:val="Normal"/>
        <w:widowControl/>
        <w:jc w:val="both"/>
        <w:rPr/>
      </w:pPr>
      <w:r>
        <w:rPr>
          <w:b/>
          <w:sz w:val="16"/>
        </w:rPr>
        <w:t>g. Trade-Execution Fees</w:t>
      </w:r>
      <w:r>
        <w:rPr>
          <w:sz w:val="16"/>
        </w:rPr>
        <w:t xml:space="preserve">. Subscriber understands and acknowledges that LTS will receive revenues as a result of executing as principal on a “net price” basis to both counterparties. </w:t>
      </w:r>
    </w:p>
    <w:p>
      <w:pPr>
        <w:pStyle w:val="Normal"/>
        <w:widowControl/>
        <w:jc w:val="both"/>
        <w:rPr>
          <w:sz w:val="16"/>
        </w:rPr>
      </w:pPr>
      <w:r>
        <w:rPr>
          <w:sz w:val="16"/>
        </w:rPr>
      </w:r>
    </w:p>
    <w:p>
      <w:pPr>
        <w:pStyle w:val="Normal"/>
        <w:widowControl/>
        <w:jc w:val="both"/>
        <w:rPr/>
      </w:pPr>
      <w:r>
        <w:rPr>
          <w:b/>
          <w:sz w:val="16"/>
        </w:rPr>
        <w:t>h. Nondisclosure of Confidential and Material, Nonpublic Information</w:t>
      </w:r>
      <w:r>
        <w:rPr>
          <w:sz w:val="16"/>
        </w:rPr>
        <w:t>.  LTS provides a variety of services to LIMITrader Subscriber and other subscribers. In connection with providing these services, employees of LTS may come into possession, from time to time, of confidential and material, nonpublic information.  Under applicable law, employees of LTS are prohibited from improperly disclosing or using such information for their personal benefit or for the benefit of any other person, regardless of whether such other person is a subscriber of LTS.  LTS will maintain written policies and procedures that (a) prohibit the communication of such information to persons who do not have a legitimate need to know; and (b) assure that they are meeting their obligations to all subscribers and otherwise remain in compliance with applicable law.  Subscriber understands and agrees that these policies and procedures are necessary and appropriate and recognizes that, in certain circumstances, employees of LTS will have knowledge of certain confidential or material, nonpublic information which, if disclosed, might affect Subscribers’ decision to buy, sell, or hold a security, but that they will be prohibited from communicating such information to Subscriber.  Subscriber also understands and agrees that LTS will have no responsibility or liability to Subscriber for failing to disclose such information to Subscriber as a result of following their policies and procedures designed to provide reasonable assurances that they are complying with applicable law.</w:t>
      </w:r>
    </w:p>
    <w:p>
      <w:pPr>
        <w:pStyle w:val="Normal"/>
        <w:widowControl/>
        <w:jc w:val="both"/>
        <w:rPr>
          <w:b/>
          <w:sz w:val="16"/>
        </w:rPr>
      </w:pPr>
      <w:r>
        <w:rPr>
          <w:b/>
          <w:sz w:val="16"/>
        </w:rPr>
      </w:r>
    </w:p>
    <w:p>
      <w:pPr>
        <w:pStyle w:val="Normal"/>
        <w:widowControl/>
        <w:jc w:val="both"/>
        <w:rPr/>
      </w:pPr>
      <w:r>
        <w:rPr>
          <w:b/>
          <w:sz w:val="16"/>
        </w:rPr>
        <w:t>i</w:t>
      </w:r>
      <w:r>
        <w:rPr>
          <w:sz w:val="16"/>
        </w:rPr>
        <w:t xml:space="preserve">. </w:t>
      </w:r>
      <w:r>
        <w:rPr>
          <w:b/>
          <w:sz w:val="16"/>
        </w:rPr>
        <w:t>Protection of Software</w:t>
      </w:r>
      <w:r>
        <w:rPr>
          <w:sz w:val="16"/>
        </w:rPr>
        <w:t>.  Subscriber acknowledges that LTS owns the copyright in and all proprietary rights to the Software, which contains valuable trade secrets of LTS. Subscriber agrees not to sell, assign, lease, license, disclose, give away, or otherwise transfer the software, including screen format and data contained and displayed within LIMITrader to any other person. Subscriber agrees to protect the trade secrets and confidential information contained in LIMITrader.  Subscriber will not, and will not attempt to, de-compile, disassemble, reverse engineer, or create derivative works of the Software.</w:t>
      </w:r>
    </w:p>
    <w:p>
      <w:pPr>
        <w:pStyle w:val="Heading1"/>
        <w:widowControl/>
        <w:ind w:hanging="0" w:start="0" w:end="-108"/>
        <w:jc w:val="both"/>
        <w:rPr>
          <w:sz w:val="16"/>
        </w:rPr>
      </w:pPr>
      <w:r>
        <w:rPr>
          <w:sz w:val="16"/>
        </w:rPr>
      </w:r>
    </w:p>
    <w:p>
      <w:pPr>
        <w:pStyle w:val="Normal"/>
        <w:widowControl/>
        <w:numPr>
          <w:ilvl w:val="0"/>
          <w:numId w:val="3"/>
        </w:numPr>
        <w:tabs>
          <w:tab w:val="clear" w:pos="720"/>
          <w:tab w:val="left" w:pos="360" w:leader="none"/>
        </w:tabs>
        <w:jc w:val="both"/>
        <w:rPr>
          <w:b/>
          <w:sz w:val="16"/>
        </w:rPr>
      </w:pPr>
      <w:r>
        <w:rPr>
          <w:b/>
          <w:sz w:val="16"/>
        </w:rPr>
        <w:t xml:space="preserve">Exclusion of Express or Implied Warranties and Limitations on </w:t>
      </w:r>
    </w:p>
    <w:p>
      <w:pPr>
        <w:pStyle w:val="Normal"/>
        <w:widowControl/>
        <w:ind w:start="360" w:end="0"/>
        <w:jc w:val="both"/>
        <w:rPr>
          <w:b/>
          <w:sz w:val="16"/>
        </w:rPr>
      </w:pPr>
      <w:r>
        <w:rPr>
          <w:b/>
          <w:sz w:val="16"/>
        </w:rPr>
        <w:t>Liability.</w:t>
      </w:r>
    </w:p>
    <w:p>
      <w:pPr>
        <w:pStyle w:val="Normal"/>
        <w:widowControl/>
        <w:jc w:val="both"/>
        <w:rPr/>
      </w:pPr>
      <w:r>
        <w:rPr>
          <w:sz w:val="16"/>
        </w:rPr>
        <w:t xml:space="preserve"> </w:t>
      </w:r>
      <w:r>
        <w:rPr>
          <w:sz w:val="16"/>
        </w:rPr>
        <w:t>(i)</w:t>
      </w:r>
      <w:r>
        <w:rPr>
          <w:b/>
          <w:sz w:val="16"/>
        </w:rPr>
        <w:t xml:space="preserve">  </w:t>
      </w:r>
      <w:r>
        <w:rPr>
          <w:sz w:val="16"/>
        </w:rPr>
        <w:t>LTS makes no express or implied representations or warranties, including without limitation any implied warranty of merchantability or fitness for a particular purpose, in respect of the services offered through LIMITrader or any information stored therein or obtained thereby; provided, however, that nothing in this Agreement constitutes or should be construed to be a waiver of any of LTS’ obligations under the Securities Exchange Act of 1934, the rules of the Securities and Exchange Commission (“SEC”) thereunder, and applicable state law.</w:t>
      </w:r>
    </w:p>
    <w:p>
      <w:pPr>
        <w:pStyle w:val="Normal"/>
        <w:widowControl/>
        <w:jc w:val="both"/>
        <w:rPr>
          <w:sz w:val="16"/>
        </w:rPr>
      </w:pPr>
      <w:r>
        <w:rPr>
          <w:sz w:val="16"/>
        </w:rPr>
      </w:r>
    </w:p>
    <w:p>
      <w:pPr>
        <w:pStyle w:val="Normal"/>
        <w:widowControl/>
        <w:tabs>
          <w:tab w:val="clear" w:pos="720"/>
          <w:tab w:val="left" w:pos="630" w:leader="none"/>
        </w:tabs>
        <w:jc w:val="both"/>
        <w:rPr/>
      </w:pPr>
      <w:r>
        <w:rPr>
          <w:sz w:val="16"/>
        </w:rPr>
        <w:t>(ii)  Subscriber agrees that LTS will in no event be liable for loss, damage</w:t>
      </w:r>
      <w:r>
        <w:rPr/>
        <w:t xml:space="preserve">, </w:t>
      </w:r>
      <w:r>
        <w:rPr>
          <w:sz w:val="16"/>
        </w:rPr>
        <w:t xml:space="preserve">or cost (including court costs), whether direct, indirect, special, incidental, consequential, or otherwise of any kind (regardless of whether LTS has been advised or is otherwise aware of the possibility of such damages) caused or alleged to be caused by Subscriber’s use of the Software, any fault or other alleged defect in the Software, or any act, error or omission of Subscriber, LTS or their respective employees or agents </w:t>
      </w:r>
      <w:r>
        <w:rPr>
          <w:b/>
          <w:sz w:val="16"/>
          <w:u w:val="double"/>
        </w:rPr>
        <w:t>except to the extent of gross negligence or willful misconduct of LTS.  Notwithstanding anything contained herein to the contrary LTS shall be liable for the accuracy of all orders and trade terms placed by Subscriber.</w:t>
      </w:r>
    </w:p>
    <w:p>
      <w:pPr>
        <w:pStyle w:val="Normal"/>
        <w:widowControl/>
        <w:jc w:val="both"/>
        <w:rPr>
          <w:b/>
          <w:sz w:val="16"/>
          <w:u w:val="double"/>
        </w:rPr>
      </w:pPr>
      <w:r>
        <w:rPr>
          <w:b/>
          <w:sz w:val="16"/>
          <w:u w:val="double"/>
        </w:rPr>
      </w:r>
    </w:p>
    <w:p>
      <w:pPr>
        <w:pStyle w:val="Normal"/>
        <w:widowControl/>
        <w:jc w:val="both"/>
        <w:rPr/>
      </w:pPr>
      <w:r>
        <w:rPr>
          <w:b/>
          <w:sz w:val="16"/>
          <w:u w:val="double"/>
        </w:rPr>
        <w:t>(2)  Arbitration.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The arbitration proceeding shall be held in the City of New York, State of New York, USA, unless otherwise agreed to in writing by the parties hereto, shall be governed by the Federal Arbitration Act and shall be conducted in accordance with the rules of the American Arbitration Association (“AAA”).  In deciding the substance of the parties’ Claims, the arbitrators shall refer to the laws of the State of New York.  Each party shall designate an arbitrator, who need not be impartial, within thirty (30) days of receiving notification of the filing with AAA of an arbitration demand.  The two designated arbitrators shall elect a third arbitrator.  If either party fails to designate the third arbitrator within thirty (30) days of their appointments, arbitrators shall be appointed by AAA such that there will be three arbitrators.  The parties agree that (a) the arbitrators shall be knowledgeable in industry standards and practices and the matters giving rise to the dispute, (b) the arbitrators shall not have the power and authority to award treble, exemplary or punitive damages of any type under any circumstances whether or not such damages may be available under state, or federal law, or under the Commercial Arbitration Rules of the AAA, the parties hereby waiving their right, if any, to recover such damages, (c) the authority of the arbitrators shall be limited to construing and enforcing the terms and conditions of this Agreement as expressly set forth herein, and (d) the arbitrators shall state the reasons for their award and their legal and factual conclusions underlying the award of the arbitrators shall be final, and judgment upon the award may be confirmed and</w:t>
      </w:r>
      <w:r>
        <w:rPr>
          <w:strike/>
          <w:sz w:val="16"/>
        </w:rPr>
        <w:t xml:space="preserve">. </w:t>
      </w:r>
    </w:p>
    <w:p>
      <w:pPr>
        <w:pStyle w:val="Normal"/>
        <w:widowControl/>
        <w:jc w:val="both"/>
        <w:rPr>
          <w:strike/>
          <w:sz w:val="16"/>
        </w:rPr>
      </w:pPr>
      <w:r>
        <w:rPr>
          <w:strike/>
          <w:sz w:val="16"/>
        </w:rPr>
      </w:r>
    </w:p>
    <w:p>
      <w:pPr>
        <w:pStyle w:val="Normal"/>
        <w:widowControl/>
        <w:jc w:val="both"/>
        <w:rPr/>
      </w:pPr>
      <w:r>
        <w:rPr>
          <w:strike/>
          <w:sz w:val="16"/>
        </w:rPr>
        <w:t>(2) Arbitration. Subscriber agrees that any and all controversies which may arise between Subscriber and LTS concerning any transaction or the construction, performance or breach of this or any other agreement between Subscriber and LTS will be determined by arbitration. Judgment upon arbitration awards may be</w:t>
      </w:r>
      <w:r>
        <w:rPr>
          <w:sz w:val="16"/>
        </w:rPr>
        <w:t xml:space="preserve"> entered in any court, state or </w:t>
      </w:r>
      <w:r>
        <w:rPr>
          <w:strike/>
          <w:sz w:val="16"/>
        </w:rPr>
        <w:t>federal,</w:t>
      </w:r>
      <w:r>
        <w:rPr>
          <w:sz w:val="16"/>
        </w:rPr>
        <w:t xml:space="preserve"> </w:t>
      </w:r>
      <w:r>
        <w:rPr>
          <w:b/>
          <w:sz w:val="16"/>
          <w:u w:val="double"/>
        </w:rPr>
        <w:t>Federal</w:t>
      </w:r>
      <w:r>
        <w:rPr>
          <w:sz w:val="16"/>
        </w:rPr>
        <w:t xml:space="preserve"> having jurisdiction. </w:t>
      </w:r>
      <w:r>
        <w:rPr>
          <w:strike/>
          <w:sz w:val="16"/>
        </w:rPr>
        <w:t>In connection with the following agreement to arbitrate, Subscriber understands that:</w:t>
      </w:r>
    </w:p>
    <w:p>
      <w:pPr>
        <w:pStyle w:val="Normal"/>
        <w:widowControl/>
        <w:jc w:val="both"/>
        <w:rPr>
          <w:strike/>
          <w:sz w:val="16"/>
        </w:rPr>
      </w:pPr>
      <w:r>
        <w:rPr>
          <w:strike/>
          <w:sz w:val="16"/>
        </w:rPr>
      </w:r>
    </w:p>
    <w:p>
      <w:pPr>
        <w:pStyle w:val="Normal"/>
        <w:widowControl/>
        <w:jc w:val="both"/>
        <w:rPr>
          <w:strike/>
          <w:sz w:val="16"/>
        </w:rPr>
      </w:pPr>
      <w:r>
        <w:rPr>
          <w:strike/>
          <w:sz w:val="16"/>
        </w:rPr>
        <w:t>Arbitration is final and binding on the parties.</w:t>
      </w:r>
    </w:p>
    <w:p>
      <w:pPr>
        <w:pStyle w:val="Normal"/>
        <w:widowControl/>
        <w:jc w:val="both"/>
        <w:rPr>
          <w:strike/>
          <w:sz w:val="16"/>
        </w:rPr>
      </w:pPr>
      <w:r>
        <w:rPr>
          <w:strike/>
          <w:sz w:val="16"/>
        </w:rPr>
        <w:t>The parties are waiving their right to seek remedies in court, including the right to jury trial.</w:t>
      </w:r>
    </w:p>
    <w:p>
      <w:pPr>
        <w:pStyle w:val="Normal"/>
        <w:widowControl/>
        <w:jc w:val="both"/>
        <w:rPr>
          <w:strike/>
          <w:sz w:val="16"/>
        </w:rPr>
      </w:pPr>
      <w:r>
        <w:rPr>
          <w:strike/>
          <w:sz w:val="16"/>
        </w:rPr>
        <w:t>Pre-arbitration discovery is generally more limited than and different from court proceedings.</w:t>
      </w:r>
    </w:p>
    <w:p>
      <w:pPr>
        <w:pStyle w:val="Normal"/>
        <w:widowControl/>
        <w:jc w:val="both"/>
        <w:rPr>
          <w:strike/>
          <w:sz w:val="16"/>
        </w:rPr>
      </w:pPr>
      <w:r>
        <w:rPr>
          <w:strike/>
          <w:sz w:val="16"/>
        </w:rPr>
        <w:t>The arbitrators’ award is not required to include factual findings or legal reasoning, and any party’s right to appeal or to seek modification of rulings by the arbitrators is strictly limited.</w:t>
      </w:r>
    </w:p>
    <w:p>
      <w:pPr>
        <w:pStyle w:val="Normal"/>
        <w:widowControl/>
        <w:jc w:val="both"/>
        <w:rPr>
          <w:sz w:val="16"/>
        </w:rPr>
      </w:pPr>
      <w:r>
        <w:rPr>
          <w:strike/>
          <w:sz w:val="16"/>
        </w:rPr>
        <w:t>The panel of arbitrators will typically include a minority of arbitrators who were or are affiliated with the securities industry.</w:t>
      </w:r>
    </w:p>
    <w:p>
      <w:pPr>
        <w:pStyle w:val="Normal"/>
        <w:widowControl/>
        <w:jc w:val="both"/>
        <w:rPr>
          <w:sz w:val="16"/>
        </w:rPr>
      </w:pPr>
      <w:r>
        <w:rPr>
          <w:sz w:val="16"/>
        </w:rPr>
      </w:r>
    </w:p>
    <w:p>
      <w:pPr>
        <w:pStyle w:val="Normal"/>
        <w:widowControl/>
        <w:jc w:val="both"/>
        <w:rPr>
          <w:b/>
          <w:sz w:val="16"/>
        </w:rPr>
      </w:pPr>
      <w:r>
        <w:rPr>
          <w:b/>
          <w:sz w:val="16"/>
        </w:rPr>
        <w:t>(3)  Termination and Amendment.</w:t>
      </w:r>
    </w:p>
    <w:p>
      <w:pPr>
        <w:pStyle w:val="BodyTextIndent"/>
        <w:widowControl/>
        <w:numPr>
          <w:ilvl w:val="0"/>
          <w:numId w:val="2"/>
        </w:numPr>
        <w:tabs>
          <w:tab w:val="clear" w:pos="720"/>
          <w:tab w:val="left" w:pos="180" w:leader="none"/>
        </w:tabs>
        <w:ind w:hanging="0" w:start="0" w:end="0"/>
        <w:rPr/>
      </w:pPr>
      <w:r>
        <w:rPr/>
        <w:t xml:space="preserve"> </w:t>
      </w:r>
      <w:r>
        <w:rPr/>
        <w:t xml:space="preserve">LTS may terminate this Agreement at any time upon written notice to Subscriber </w:t>
      </w:r>
      <w:r>
        <w:rPr>
          <w:strike/>
        </w:rPr>
        <w:t>;</w:t>
      </w:r>
      <w:r>
        <w:rPr/>
        <w:t xml:space="preserve"> provided, however, that LTS may terminate this Agreement immediately, without prior notice to Subscriber, if LTS determines in its sole discretion that (i) Subscriber has breached any provision of this Agreement or (ii) Subscriber’s use of LIMITrader jeopardizes the proper and efficient operation of LTS. Subscriber acknowledges and agrees that if LTS terminates this Agreement for such reasons, Subscriber’s open orders may be cancelled by LTS.</w:t>
      </w:r>
    </w:p>
    <w:p>
      <w:pPr>
        <w:pStyle w:val="BodyTextIndent"/>
        <w:widowControl/>
        <w:rPr/>
      </w:pPr>
      <w:r>
        <w:rPr/>
      </w:r>
    </w:p>
    <w:p>
      <w:pPr>
        <w:pStyle w:val="BodyTextIndent"/>
        <w:widowControl/>
        <w:ind w:start="0" w:end="0"/>
        <w:rPr/>
      </w:pPr>
      <w:r>
        <w:rPr/>
        <w:t xml:space="preserve">(b) Upon termination of this Agreement, Subscriber will no longer be permitted to use LIMITrader or the Software (or any part thereof), all licenses granted hereunder will be terminated, and </w:t>
      </w:r>
      <w:r>
        <w:rPr>
          <w:strike/>
        </w:rPr>
        <w:t>LTS will</w:t>
      </w:r>
      <w:r>
        <w:rPr/>
        <w:t xml:space="preserve"> </w:t>
      </w:r>
      <w:r>
        <w:rPr>
          <w:b/>
          <w:u w:val="double"/>
        </w:rPr>
        <w:t>neither party shall</w:t>
      </w:r>
      <w:r>
        <w:rPr/>
        <w:t xml:space="preserve"> have any further liability </w:t>
      </w:r>
      <w:r>
        <w:rPr>
          <w:strike/>
        </w:rPr>
        <w:t>to Subscriber</w:t>
      </w:r>
      <w:r>
        <w:rPr/>
        <w:t xml:space="preserve"> hereunder.  In addition, upon the termination of this Agreement, Subscriber will (i) at LTS’ discretion, either promptly return to LTS or otherwise dispose of all materials in its possession relating or referring to the Software; and (ii) pay to LTS all fees due through the date of termination.  The termination of this Agreement, for any reason, will not affect LTS’ entitlement to any fees due hereunder or any additional remedies provided by law or equity. </w:t>
      </w:r>
    </w:p>
    <w:p>
      <w:pPr>
        <w:pStyle w:val="BodyTextIndent"/>
        <w:widowControl/>
        <w:ind w:start="0" w:end="0"/>
        <w:rPr/>
      </w:pPr>
      <w:r>
        <w:rPr/>
      </w:r>
    </w:p>
    <w:p>
      <w:pPr>
        <w:pStyle w:val="BodyTextIndent"/>
        <w:widowControl/>
        <w:ind w:start="0" w:end="0"/>
        <w:rPr/>
      </w:pPr>
      <w:r>
        <w:rPr/>
        <w:t xml:space="preserve">(c)  This Agreement may be amended or supplemented by LTS upon 30 days’ written notice, provided that any such amendment or supplement will be effective only with respect to transactions executed or other actions taken after the effective date thereof. </w:t>
      </w:r>
    </w:p>
    <w:p>
      <w:pPr>
        <w:pStyle w:val="Normal"/>
        <w:widowControl/>
        <w:rPr>
          <w:sz w:val="16"/>
        </w:rPr>
      </w:pPr>
      <w:r>
        <w:rPr>
          <w:sz w:val="16"/>
        </w:rPr>
      </w:r>
    </w:p>
    <w:p>
      <w:pPr>
        <w:pStyle w:val="BodyTextIndent"/>
        <w:widowControl/>
        <w:ind w:start="0" w:end="0"/>
        <w:rPr>
          <w:b/>
          <w:u w:val="double"/>
        </w:rPr>
      </w:pPr>
      <w:r>
        <w:rPr>
          <w:b/>
          <w:u w:val="double"/>
        </w:rPr>
        <w:t>(4) Limitation of Liability.  NOTWITHSTANDING ANYTHING CONTAINED HEREIN TO THE CONTRARY, NO PARTY SHALL BE REQUIRED TO PAY OR BE LIABLE FOR SPECIAL, PUNITIVE, EXEMPLARY, INCIDENTAL, CONSEQUENTIAL OR INDIRECT DAMAGES (WHETHER OR NOT ARISING FROM ITS NEGLIGENCE) TO ANY OTHER PARTY.</w:t>
      </w:r>
    </w:p>
    <w:p>
      <w:pPr>
        <w:pStyle w:val="BodyTextIndent"/>
        <w:widowControl/>
        <w:ind w:start="0" w:end="0"/>
        <w:rPr>
          <w:b/>
          <w:u w:val="double"/>
        </w:rPr>
      </w:pPr>
      <w:r>
        <w:rPr>
          <w:b/>
          <w:u w:val="double"/>
        </w:rPr>
      </w:r>
    </w:p>
    <w:p>
      <w:pPr>
        <w:pStyle w:val="BodyTextIndent"/>
        <w:widowControl/>
        <w:ind w:start="0" w:end="0"/>
        <w:rPr>
          <w:b/>
          <w:u w:val="double"/>
        </w:rPr>
      </w:pPr>
      <w:r>
        <w:rPr>
          <w:b/>
          <w:u w:val="double"/>
        </w:rPr>
        <w:t>(5)  Governing Law.  This Agreement shall be governed by the laws of New York.</w:t>
      </w:r>
    </w:p>
    <w:p>
      <w:pPr>
        <w:pStyle w:val="BodyTextIndent"/>
        <w:widowControl/>
        <w:ind w:start="0" w:end="0"/>
        <w:rPr>
          <w:b/>
          <w:u w:val="double"/>
        </w:rPr>
      </w:pPr>
      <w:r>
        <w:rPr>
          <w:b/>
          <w:u w:val="double"/>
        </w:rPr>
      </w:r>
    </w:p>
    <w:p>
      <w:pPr>
        <w:pStyle w:val="BodyTextIndent"/>
        <w:widowControl/>
        <w:ind w:start="0" w:end="0"/>
        <w:rPr>
          <w:b/>
          <w:u w:val="double"/>
        </w:rPr>
      </w:pPr>
      <w:r>
        <w:rPr>
          <w:b/>
          <w:u w:val="double"/>
        </w:rPr>
        <w:t>(6)  Notices.  All notices under this Agreement, if sent to Subscriber shall be sent to [________________].  In addition, notice of any default, amendment or termination hereunder shall also be sent in writing to Enron North America Corp., 1400 Smith, Houston, Texas  77002, Attn:  Assistant General Counsel - Trading Group.</w:t>
      </w:r>
    </w:p>
    <w:p>
      <w:pPr>
        <w:pStyle w:val="Normal"/>
        <w:widowControl/>
        <w:rPr>
          <w:sz w:val="16"/>
        </w:rPr>
      </w:pPr>
      <w:r>
        <w:rPr>
          <w:sz w:val="16"/>
        </w:rPr>
      </w:r>
    </w:p>
    <w:p>
      <w:pPr>
        <w:pStyle w:val="Normal"/>
        <w:widowControl/>
        <w:rPr>
          <w:sz w:val="16"/>
        </w:rPr>
      </w:pPr>
      <w:r>
        <w:rPr>
          <w:sz w:val="16"/>
        </w:rPr>
        <w:t xml:space="preserve">Agreed to this __________ day of ____________________, </w:t>
      </w:r>
      <w:r>
        <w:rPr>
          <w:strike/>
          <w:sz w:val="16"/>
        </w:rPr>
        <w:t>19___</w:t>
      </w:r>
      <w:r>
        <w:rPr>
          <w:b/>
          <w:sz w:val="16"/>
          <w:u w:val="double"/>
        </w:rPr>
        <w:t>2000</w:t>
      </w:r>
    </w:p>
    <w:p>
      <w:pPr>
        <w:pStyle w:val="Normal"/>
        <w:widowControl/>
        <w:rPr>
          <w:sz w:val="16"/>
        </w:rPr>
      </w:pPr>
      <w:r>
        <w:rPr>
          <w:smallCaps/>
          <w:sz w:val="16"/>
        </w:rPr>
        <w:t>Subscriber</w:t>
      </w:r>
    </w:p>
    <w:p>
      <w:pPr>
        <w:pStyle w:val="Normal"/>
        <w:widowControl/>
        <w:pBdr>
          <w:bottom w:val="single" w:sz="12" w:space="1" w:color="000000"/>
        </w:pBdr>
        <w:rPr>
          <w:sz w:val="16"/>
        </w:rPr>
      </w:pPr>
      <w:r>
        <w:rPr>
          <w:sz w:val="16"/>
        </w:rPr>
      </w:r>
    </w:p>
    <w:p>
      <w:pPr>
        <w:pStyle w:val="Normal"/>
        <w:widowControl/>
        <w:rPr>
          <w:sz w:val="16"/>
        </w:rPr>
      </w:pPr>
      <w:r>
        <w:rPr>
          <w:sz w:val="16"/>
        </w:rPr>
        <w:t>(Company Name)</w:t>
      </w:r>
    </w:p>
    <w:p>
      <w:pPr>
        <w:pStyle w:val="Normal"/>
        <w:widowControl/>
        <w:rPr>
          <w:sz w:val="16"/>
        </w:rPr>
      </w:pPr>
      <w:r>
        <w:rPr>
          <w:sz w:val="16"/>
        </w:rPr>
      </w:r>
    </w:p>
    <w:p>
      <w:pPr>
        <w:pStyle w:val="Normal"/>
        <w:widowControl/>
        <w:rPr>
          <w:sz w:val="16"/>
        </w:rPr>
      </w:pPr>
      <w:r>
        <w:rPr>
          <w:sz w:val="16"/>
        </w:rPr>
        <w:t>By: ___________________________________________________</w:t>
      </w:r>
    </w:p>
    <w:p>
      <w:pPr>
        <w:pStyle w:val="Normal"/>
        <w:widowControl/>
        <w:rPr>
          <w:sz w:val="16"/>
        </w:rPr>
      </w:pPr>
      <w:r>
        <w:rPr>
          <w:sz w:val="16"/>
        </w:rPr>
        <w:t>(Signature)</w:t>
      </w:r>
    </w:p>
    <w:p>
      <w:pPr>
        <w:pStyle w:val="Normal"/>
        <w:widowControl/>
        <w:rPr>
          <w:b/>
          <w:sz w:val="16"/>
        </w:rPr>
      </w:pPr>
      <w:r>
        <w:rPr>
          <w:b/>
          <w:sz w:val="16"/>
        </w:rPr>
        <w:t>_______________________________________________________</w:t>
      </w:r>
    </w:p>
    <w:p>
      <w:pPr>
        <w:pStyle w:val="Normal"/>
        <w:widowControl/>
        <w:rPr>
          <w:sz w:val="16"/>
        </w:rPr>
      </w:pPr>
      <w:r>
        <w:rPr>
          <w:sz w:val="16"/>
        </w:rPr>
        <w:t>(Name and Title)</w:t>
      </w:r>
    </w:p>
    <w:p>
      <w:pPr>
        <w:pStyle w:val="Normal"/>
        <w:widowControl/>
        <w:rPr>
          <w:sz w:val="16"/>
        </w:rPr>
      </w:pPr>
      <w:r>
        <w:rPr>
          <w:sz w:val="16"/>
        </w:rPr>
      </w:r>
    </w:p>
    <w:p>
      <w:pPr>
        <w:pStyle w:val="Normal"/>
        <w:widowControl/>
        <w:rPr>
          <w:sz w:val="16"/>
        </w:rPr>
      </w:pPr>
      <w:r>
        <w:rPr>
          <w:sz w:val="16"/>
        </w:rPr>
      </w:r>
    </w:p>
    <w:p>
      <w:pPr>
        <w:pStyle w:val="Normal"/>
        <w:widowControl/>
        <w:rPr>
          <w:sz w:val="16"/>
        </w:rPr>
      </w:pPr>
      <w:r>
        <w:rPr>
          <w:sz w:val="16"/>
        </w:rPr>
        <w:t>------------------ COMPARISON OF HEADERS ------------------</w:t>
      </w:r>
    </w:p>
    <w:p>
      <w:pPr>
        <w:pStyle w:val="Normal"/>
        <w:widowControl/>
        <w:rPr>
          <w:sz w:val="16"/>
        </w:rPr>
      </w:pPr>
      <w:r>
        <w:rPr>
          <w:sz w:val="16"/>
        </w:rPr>
      </w:r>
    </w:p>
    <w:p>
      <w:pPr>
        <w:pStyle w:val="Normal"/>
        <w:widowControl/>
        <w:rPr>
          <w:sz w:val="16"/>
        </w:rPr>
      </w:pPr>
      <w:r>
        <w:rPr>
          <w:sz w:val="16"/>
        </w:rPr>
        <w:t>-HEADER 1-</w:t>
      </w:r>
    </w:p>
    <w:p>
      <w:pPr>
        <w:pStyle w:val="Normal"/>
        <w:widowControl/>
        <w:rPr>
          <w:sz w:val="16"/>
        </w:rPr>
      </w:pPr>
      <w:r>
        <w:rPr>
          <w:sz w:val="16"/>
        </w:rPr>
        <w:t>LIMITrader Securities, Inc. Subscriber Agreement</w:t>
      </w:r>
    </w:p>
    <w:p>
      <w:pPr>
        <w:pStyle w:val="Normal"/>
        <w:widowControl/>
        <w:rPr>
          <w:sz w:val="16"/>
        </w:rPr>
      </w:pPr>
      <w:r>
        <w:rPr>
          <w:sz w:val="16"/>
        </w:rPr>
      </w:r>
    </w:p>
    <w:p>
      <w:pPr>
        <w:pStyle w:val="Normal"/>
        <w:widowControl/>
        <w:rPr>
          <w:sz w:val="16"/>
        </w:rPr>
      </w:pPr>
      <w:r>
        <w:rPr>
          <w:sz w:val="16"/>
        </w:rPr>
      </w:r>
    </w:p>
    <w:p>
      <w:pPr>
        <w:pStyle w:val="Normal"/>
        <w:widowControl/>
        <w:rPr>
          <w:sz w:val="16"/>
        </w:rPr>
      </w:pPr>
      <w:r>
        <w:rPr>
          <w:sz w:val="16"/>
        </w:rPr>
        <w:t>------------------ COMPARISON OF FOOTERS ------------------</w:t>
      </w:r>
    </w:p>
    <w:p>
      <w:pPr>
        <w:pStyle w:val="Normal"/>
        <w:widowControl/>
        <w:rPr>
          <w:sz w:val="16"/>
        </w:rPr>
      </w:pPr>
      <w:r>
        <w:rPr>
          <w:sz w:val="16"/>
        </w:rPr>
      </w:r>
    </w:p>
    <w:p>
      <w:pPr>
        <w:pStyle w:val="Normal"/>
        <w:widowControl/>
        <w:rPr>
          <w:sz w:val="16"/>
        </w:rPr>
      </w:pPr>
      <w:r>
        <w:rPr>
          <w:sz w:val="16"/>
        </w:rPr>
        <w:t>-FOOTER 1-</w:t>
      </w:r>
    </w:p>
    <w:p>
      <w:pPr>
        <w:pStyle w:val="Normal"/>
        <w:widowControl/>
        <w:rPr>
          <w:sz w:val="16"/>
        </w:rPr>
      </w:pPr>
      <w:r>
        <w:rPr>
          <w:strike/>
          <w:sz w:val="16"/>
        </w:rPr>
        <w:t>2</w:t>
      </w:r>
      <w:r>
        <w:rPr>
          <w:sz w:val="16"/>
        </w:rPr>
        <w:t xml:space="preserve"> </w:t>
      </w:r>
      <w:r>
        <w:rPr>
          <w:b/>
          <w:sz w:val="16"/>
          <w:u w:val="double"/>
        </w:rPr>
        <w:t>3</w:t>
      </w:r>
    </w:p>
    <w:p>
      <w:pPr>
        <w:pStyle w:val="Normal"/>
        <w:widowControl/>
        <w:rPr>
          <w:strike/>
          <w:sz w:val="16"/>
        </w:rPr>
      </w:pPr>
      <w:r>
        <w:rPr>
          <w:strike/>
          <w:sz w:val="16"/>
        </w:rPr>
      </w:r>
    </w:p>
    <w:p>
      <w:pPr>
        <w:pStyle w:val="Normal"/>
        <w:widowControl/>
        <w:rPr>
          <w:strike/>
          <w:sz w:val="16"/>
        </w:rPr>
      </w:pPr>
      <w:r>
        <w:rPr>
          <w:strike/>
          <w:sz w:val="16"/>
        </w:rPr>
        <w:t>-FOOTER 2-</w:t>
      </w:r>
    </w:p>
    <w:p>
      <w:pPr>
        <w:pStyle w:val="Normal"/>
        <w:widowControl/>
        <w:rPr>
          <w:sz w:val="16"/>
        </w:rPr>
      </w:pPr>
      <w:r>
        <w:rPr>
          <w:strike/>
          <w:sz w:val="16"/>
        </w:rPr>
        <w:t>577751-1 2/2/00</w:t>
      </w:r>
    </w:p>
    <w:p>
      <w:pPr>
        <w:pStyle w:val="Normal"/>
        <w:widowControl/>
        <w:rPr>
          <w:sz w:val="16"/>
        </w:rPr>
      </w:pPr>
      <w:r>
        <w:rPr>
          <w:sz w:val="16"/>
        </w:rPr>
      </w:r>
    </w:p>
    <w:p>
      <w:pPr>
        <w:pStyle w:val="Normal"/>
        <w:widowControl/>
        <w:rPr/>
      </w:pPr>
      <w:r>
        <w:rPr>
          <w:sz w:val="16"/>
        </w:rPr>
        <w:t xml:space="preserve">-FOOTER </w:t>
      </w:r>
      <w:r>
        <w:rPr>
          <w:strike/>
          <w:sz w:val="16"/>
        </w:rPr>
        <w:t>3</w:t>
      </w:r>
      <w:r>
        <w:rPr>
          <w:sz w:val="16"/>
        </w:rPr>
        <w:t xml:space="preserve"> </w:t>
      </w:r>
      <w:r>
        <w:rPr>
          <w:b/>
          <w:sz w:val="16"/>
          <w:u w:val="double"/>
        </w:rPr>
        <w:t>2</w:t>
      </w:r>
      <w:r>
        <w:rPr>
          <w:sz w:val="16"/>
        </w:rPr>
        <w:t>-</w:t>
      </w:r>
    </w:p>
    <w:p>
      <w:pPr>
        <w:pStyle w:val="Normal"/>
        <w:widowControl/>
        <w:rPr>
          <w:sz w:val="16"/>
        </w:rPr>
      </w:pPr>
      <w:r>
        <w:rPr>
          <w:sz w:val="16"/>
        </w:rPr>
        <w:t>577751-</w:t>
      </w:r>
      <w:r>
        <w:rPr>
          <w:strike/>
          <w:sz w:val="16"/>
        </w:rPr>
        <w:t>1</w:t>
      </w:r>
      <w:r>
        <w:rPr>
          <w:sz w:val="16"/>
        </w:rPr>
        <w:t xml:space="preserve"> </w:t>
      </w:r>
      <w:r>
        <w:rPr>
          <w:b/>
          <w:sz w:val="16"/>
          <w:u w:val="double"/>
        </w:rPr>
        <w:t>2</w:t>
      </w:r>
    </w:p>
    <w:p>
      <w:pPr>
        <w:pStyle w:val="Normal"/>
        <w:widowControl/>
        <w:rPr>
          <w:b/>
          <w:sz w:val="16"/>
          <w:u w:val="double"/>
        </w:rPr>
      </w:pPr>
      <w:r>
        <w:rPr>
          <w:b/>
          <w:sz w:val="16"/>
          <w:u w:val="double"/>
        </w:rPr>
      </w:r>
    </w:p>
    <w:p>
      <w:pPr>
        <w:pStyle w:val="Normal"/>
        <w:widowControl/>
        <w:rPr>
          <w:b/>
          <w:sz w:val="16"/>
          <w:u w:val="double"/>
        </w:rPr>
      </w:pPr>
      <w:r>
        <w:rPr>
          <w:b/>
          <w:sz w:val="16"/>
          <w:u w:val="double"/>
        </w:rPr>
        <w:t>-FOOTER 3-</w:t>
      </w:r>
    </w:p>
    <w:p>
      <w:pPr>
        <w:pStyle w:val="Normal"/>
        <w:widowControl/>
        <w:rPr>
          <w:sz w:val="16"/>
        </w:rPr>
      </w:pPr>
      <w:r>
        <w:rPr>
          <w:b/>
          <w:sz w:val="16"/>
          <w:u w:val="double"/>
        </w:rPr>
        <w:t>577751-2</w:t>
      </w:r>
    </w:p>
    <w:p>
      <w:pPr>
        <w:pStyle w:val="Normal"/>
        <w:widowControl/>
        <w:rPr>
          <w:sz w:val="16"/>
        </w:rPr>
      </w:pPr>
      <w:r>
        <w:rPr>
          <w:sz w:val="16"/>
        </w:rPr>
        <w:t>T</w:t>
      </w:r>
    </w:p>
    <w:p>
      <w:pPr>
        <w:pStyle w:val="Normal"/>
        <w:widowControl/>
        <w:rPr>
          <w:sz w:val="16"/>
        </w:rPr>
      </w:pPr>
      <w:r>
        <w:rPr>
          <w:sz w:val="16"/>
        </w:rPr>
      </w:r>
    </w:p>
    <w:p>
      <w:pPr>
        <w:pStyle w:val="Normal"/>
        <w:widowControl/>
        <w:rPr>
          <w:sz w:val="16"/>
        </w:rPr>
      </w:pPr>
      <w:r>
        <w:rPr>
          <w:sz w:val="16"/>
        </w:rPr>
        <w:t xml:space="preserve">This redlined draft, generated by CompareRite (TM) - The Instant Redliner, shows the differences between - </w:t>
      </w:r>
    </w:p>
    <w:p>
      <w:pPr>
        <w:pStyle w:val="Normal"/>
        <w:widowControl/>
        <w:rPr>
          <w:sz w:val="16"/>
        </w:rPr>
      </w:pPr>
      <w:r>
        <w:rPr>
          <w:sz w:val="16"/>
        </w:rPr>
        <w:t>original document   : C:\WINDOWS\TEMP\HOU_577751_1</w:t>
      </w:r>
    </w:p>
    <w:p>
      <w:pPr>
        <w:pStyle w:val="Normal"/>
        <w:widowControl/>
        <w:rPr>
          <w:sz w:val="16"/>
        </w:rPr>
      </w:pPr>
      <w:r>
        <w:rPr>
          <w:sz w:val="16"/>
        </w:rPr>
        <w:t>and revised document: C:\WINDOWS\TEMP\HOU_577751.2</w:t>
      </w:r>
    </w:p>
    <w:p>
      <w:pPr>
        <w:pStyle w:val="Normal"/>
        <w:widowControl/>
        <w:rPr>
          <w:sz w:val="16"/>
        </w:rPr>
      </w:pPr>
      <w:r>
        <w:rPr>
          <w:sz w:val="16"/>
        </w:rPr>
      </w:r>
    </w:p>
    <w:p>
      <w:pPr>
        <w:pStyle w:val="Normal"/>
        <w:widowControl/>
        <w:rPr>
          <w:sz w:val="16"/>
        </w:rPr>
      </w:pPr>
      <w:r>
        <w:rPr>
          <w:sz w:val="16"/>
        </w:rPr>
        <w:t>CompareRite found   15 change(s) in the text</w:t>
      </w:r>
    </w:p>
    <w:p>
      <w:pPr>
        <w:pStyle w:val="Normal"/>
        <w:widowControl/>
        <w:rPr>
          <w:sz w:val="16"/>
        </w:rPr>
      </w:pPr>
      <w:r>
        <w:rPr>
          <w:sz w:val="16"/>
        </w:rPr>
        <w:t>CompareRite found    4 change(s) in the notes</w:t>
      </w:r>
    </w:p>
    <w:p>
      <w:pPr>
        <w:pStyle w:val="Normal"/>
        <w:widowControl/>
        <w:rPr>
          <w:sz w:val="16"/>
        </w:rPr>
      </w:pPr>
      <w:r>
        <w:rPr>
          <w:sz w:val="16"/>
        </w:rPr>
      </w:r>
    </w:p>
    <w:p>
      <w:pPr>
        <w:pStyle w:val="Normal"/>
        <w:widowControl/>
        <w:rPr>
          <w:sz w:val="16"/>
        </w:rPr>
      </w:pPr>
      <w:r>
        <w:rPr>
          <w:sz w:val="16"/>
        </w:rPr>
        <w:t xml:space="preserve">Deletions appear as Overstrike text </w:t>
      </w:r>
    </w:p>
    <w:p>
      <w:pPr>
        <w:pStyle w:val="Normal"/>
        <w:widowControl/>
        <w:rPr>
          <w:sz w:val="16"/>
        </w:rPr>
      </w:pPr>
      <w:r>
        <w:rPr>
          <w:sz w:val="16"/>
        </w:rPr>
        <w:t xml:space="preserve">Additions appear as Bold+Dbl Underline text </w:t>
      </w:r>
    </w:p>
    <w:sectPr>
      <w:headerReference w:type="default" r:id="rId2"/>
      <w:footerReference w:type="default" r:id="rId3"/>
      <w:type w:val="nextPage"/>
      <w:pgSz w:w="12240" w:h="15840"/>
      <w:pgMar w:left="1008" w:right="1008" w:gutter="0" w:header="720" w:top="1008" w:footer="720" w:bottom="1008"/>
      <w:pgNumType w:fmt="decimal"/>
      <w:cols w:num="2" w:equalWidth="false" w:sep="false">
        <w:col w:w="5022" w:space="360"/>
        <w:col w:w="4842"/>
      </w:cols>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578037-1</w:t>
    </w:r>
  </w:p>
  <w:p>
    <w:pPr>
      <w:pStyle w:val="Footer"/>
      <w:rPr/>
    </w:pPr>
    <w:r>
      <w:rPr>
        <w:rStyle w:val="PageNumber"/>
        <w:b/>
        <w:i/>
      </w:rPr>
      <w:t>Blackline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pBdr>
        <w:top w:val="single" w:sz="6" w:space="1" w:color="000000"/>
        <w:left w:val="single" w:sz="6" w:space="4" w:color="000000"/>
        <w:bottom w:val="single" w:sz="6" w:space="1" w:color="000000"/>
        <w:right w:val="single" w:sz="6" w:space="4" w:color="000000"/>
      </w:pBdr>
      <w:tabs>
        <w:tab w:val="clear" w:pos="720"/>
        <w:tab w:val="right" w:pos="9000" w:leader="none"/>
      </w:tabs>
      <w:rPr/>
    </w:pPr>
    <w:r>
      <w:rPr>
        <w:b/>
      </w:rPr>
      <w:t>LIMITrader Securities, Inc.</w:t>
    </w:r>
    <w:r>
      <w:rPr/>
      <w:tab/>
    </w:r>
    <w:r>
      <w:rPr>
        <w:b/>
        <w:color w:val="000000"/>
      </w:rPr>
      <w:t>Subscriber Agreement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lvl>
  </w:abstractNum>
  <w:abstractNum w:abstractNumId="3">
    <w:lvl w:ilvl="0">
      <w:start w:val="10"/>
      <w:numFmt w:val="lowerLetter"/>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center"/>
      <w:outlineLvl w:val="1"/>
    </w:pPr>
    <w:rPr>
      <w:b/>
    </w:rPr>
  </w:style>
  <w:style w:type="paragraph" w:styleId="Heading3">
    <w:name w:val="heading 3"/>
    <w:basedOn w:val="Normal"/>
    <w:next w:val="Normal"/>
    <w:qFormat/>
    <w:pPr>
      <w:keepNext w:val="true"/>
      <w:numPr>
        <w:ilvl w:val="2"/>
        <w:numId w:val="1"/>
      </w:numPr>
      <w:jc w:val="center"/>
      <w:outlineLvl w:val="2"/>
    </w:pPr>
    <w:rPr>
      <w:b/>
      <w:sz w:val="22"/>
    </w:rPr>
  </w:style>
  <w:style w:type="character" w:styleId="DefaultParagraphFont">
    <w:name w:val="Default Paragraph Font"/>
    <w:qFormat/>
    <w:rPr/>
  </w:style>
  <w:style w:type="character" w:styleId="PageNumber">
    <w:name w:val="page number"/>
    <w:basedOn w:val="DefaultParagraphFont"/>
    <w:rPr>
      <w:sz w:val="20"/>
    </w:rPr>
  </w:style>
  <w:style w:type="character" w:styleId="Strong">
    <w:name w:val="Strong"/>
    <w:basedOn w:val="DefaultParagraphFont"/>
    <w:qFormat/>
    <w:rPr>
      <w:b/>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jc w:val="both"/>
    </w:pPr>
    <w:rPr>
      <w:sz w:val="16"/>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2000-09-22T13:27:00Z</dcterms:created>
  <dc:creator>James M. Kopley</dc:creator>
  <dc:description/>
  <dc:language>en-CA</dc:language>
  <cp:lastModifiedBy>A&amp;K</cp:lastModifiedBy>
  <cp:lastPrinted>2000-09-22T10:57:00Z</cp:lastPrinted>
  <dcterms:modified xsi:type="dcterms:W3CDTF">2000-09-22T13:27:00Z</dcterms:modified>
  <cp:revision>2</cp:revision>
  <dc:subject/>
  <dc:title>LIMITrader Securities, Inc</dc:title>
</cp:coreProperties>
</file>