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SCHEDULE</w:t>
        <w:br/>
        <w:t>to the</w:t>
        <w:br/>
        <w:t>MASTER AGREEMENT</w:t>
        <w:br/>
        <w:t>(Multicurrency-Cross Border)</w:t>
        <w:br/>
        <w:t xml:space="preserve">dated as of </w:t>
      </w:r>
      <w:r>
        <w:rPr>
          <w:strike/>
        </w:rPr>
        <w:t>July</w:t>
      </w:r>
      <w:r>
        <w:rPr/>
        <w:t xml:space="preserve"> </w:t>
      </w:r>
      <w:r>
        <w:rPr>
          <w:u w:val="double"/>
        </w:rPr>
        <w:t>September</w:t>
      </w:r>
      <w:r>
        <w:rPr/>
        <w:t xml:space="preserve"> __, 2000</w:t>
        <w:b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LOST CREEK GATHERING COMPANY, L.L.C., a limited liability company organized under the law of the State of Delaware</w:t>
              <w:br/>
              <w:t>(“Party A”), and</w:t>
            </w:r>
          </w:p>
          <w:p>
            <w:pPr>
              <w:pStyle w:val="Normal"/>
              <w:widowControl/>
              <w:spacing w:before="240" w:after="0"/>
              <w:jc w:val="center"/>
              <w:rPr>
                <w:b/>
                <w:sz w:val="22"/>
              </w:rPr>
            </w:pPr>
            <w:r>
              <w:rPr>
                <w:b/>
                <w:sz w:val="22"/>
              </w:rPr>
            </w:r>
          </w:p>
        </w:tc>
        <w:tc>
          <w:tcPr>
            <w:tcW w:w="4788" w:type="dxa"/>
            <w:tcBorders/>
          </w:tcPr>
          <w:p>
            <w:pPr>
              <w:pStyle w:val="Normal"/>
              <w:widowControl/>
              <w:spacing w:before="240" w:after="0"/>
              <w:jc w:val="center"/>
              <w:rPr>
                <w:b/>
                <w:color w:val="808000"/>
                <w:sz w:val="22"/>
              </w:rPr>
            </w:pPr>
            <w:r>
              <w:rPr>
                <w:b/>
                <w:sz w:val="22"/>
              </w:rPr>
              <w:t xml:space="preserve">BARCLAYS BANK PLC, a </w:t>
            </w:r>
            <w:r>
              <w:rPr>
                <w:b/>
                <w:strike/>
                <w:sz w:val="22"/>
              </w:rPr>
              <w:t>_____________ organized</w:t>
            </w:r>
            <w:r>
              <w:rPr>
                <w:b/>
                <w:sz w:val="22"/>
              </w:rPr>
              <w:t xml:space="preserve"> </w:t>
            </w:r>
            <w:r>
              <w:rPr>
                <w:b/>
                <w:sz w:val="22"/>
                <w:u w:val="double"/>
              </w:rPr>
              <w:t>Bank</w:t>
            </w:r>
            <w:r>
              <w:rPr>
                <w:b/>
                <w:sz w:val="22"/>
              </w:rPr>
              <w:br/>
            </w:r>
            <w:r>
              <w:rPr>
                <w:b/>
                <w:sz w:val="22"/>
                <w:u w:val="double"/>
              </w:rPr>
              <w:t>organized</w:t>
            </w:r>
            <w:r>
              <w:rPr>
                <w:b/>
                <w:sz w:val="22"/>
              </w:rPr>
              <w:t xml:space="preserve"> under the law </w:t>
            </w:r>
            <w:r>
              <w:rPr>
                <w:b/>
                <w:strike/>
                <w:sz w:val="22"/>
              </w:rPr>
              <w:t>of the ____________of ________</w:t>
            </w:r>
            <w:r>
              <w:rPr>
                <w:b/>
                <w:sz w:val="22"/>
                <w:u w:val="double"/>
              </w:rPr>
              <w:t>of</w:t>
            </w:r>
            <w:r>
              <w:rPr>
                <w:b/>
                <w:sz w:val="22"/>
              </w:rPr>
              <w:br/>
            </w:r>
            <w:r>
              <w:rPr>
                <w:b/>
                <w:sz w:val="22"/>
                <w:u w:val="double"/>
              </w:rPr>
              <w:t>England</w:t>
            </w:r>
            <w:r>
              <w:rPr>
                <w:b/>
                <w:sz w:val="22"/>
              </w:rPr>
              <w:t xml:space="preserve"> (“Party B”)</w:t>
            </w:r>
          </w:p>
        </w:tc>
      </w:tr>
    </w:tbl>
    <w:p>
      <w:pPr>
        <w:pStyle w:val="BodyText"/>
        <w:rPr/>
      </w:pPr>
      <w:r>
        <w:rPr>
          <w:b/>
        </w:rPr>
        <w:t>Part 1. Termination Provisions</w:t>
      </w:r>
      <w:r>
        <w:rPr/>
        <w:t>.</w:t>
      </w:r>
    </w:p>
    <w:p>
      <w:pPr>
        <w:pStyle w:val="BodyTextFirstIndent"/>
        <w:widowControl/>
        <w:rPr/>
      </w:pPr>
      <w:r>
        <w:rPr/>
        <w:t>(a)</w:t>
        <w:tab/>
        <w:t>“</w:t>
      </w:r>
      <w:r>
        <w:rPr>
          <w:rStyle w:val="Bold"/>
        </w:rPr>
        <w:t>Specified Entity</w:t>
      </w:r>
      <w:r>
        <w:rPr/>
        <w:t>” means in relation to Party A, none; and in relation to Party B, none.</w:t>
      </w:r>
    </w:p>
    <w:p>
      <w:pPr>
        <w:pStyle w:val="BodyTextFirstIndent"/>
        <w:widowControl/>
        <w:rPr/>
      </w:pPr>
      <w:r>
        <w:rPr/>
        <w:t>(b)</w:t>
        <w:tab/>
        <w:t>The “</w:t>
      </w:r>
      <w:r>
        <w:rPr>
          <w:rStyle w:val="Bold"/>
        </w:rPr>
        <w:t>Cross Default</w:t>
      </w:r>
      <w:r>
        <w:rPr/>
        <w:t>” provisions of Section 5(a)(vi) will not apply to Party A, and will not apply to Party B.</w:t>
      </w:r>
    </w:p>
    <w:p>
      <w:pPr>
        <w:pStyle w:val="BodyTextFirstIndent"/>
        <w:widowControl/>
        <w:rPr/>
      </w:pPr>
      <w:r>
        <w:rPr/>
        <w:t xml:space="preserve"> </w:t>
      </w:r>
      <w:r>
        <w:rPr/>
        <w:t>(c)</w:t>
        <w:tab/>
        <w:t>The “</w:t>
      </w:r>
      <w:r>
        <w:rPr>
          <w:rStyle w:val="Bold"/>
        </w:rPr>
        <w:t>Credit Event Upon Merger</w:t>
      </w:r>
      <w:r>
        <w:rPr/>
        <w:t>” provisions of Section 5(b)(iv) will apply to Party A and to Party B.</w:t>
      </w:r>
    </w:p>
    <w:p>
      <w:pPr>
        <w:pStyle w:val="BodyTextFirstIndent"/>
        <w:widowControl/>
        <w:rPr/>
      </w:pPr>
      <w:r>
        <w:rPr/>
        <w:t>(d)</w:t>
        <w:tab/>
        <w:t>The “</w:t>
      </w:r>
      <w:r>
        <w:rPr>
          <w:rStyle w:val="Bold"/>
        </w:rPr>
        <w:t>Automatic Early Termination</w:t>
      </w:r>
      <w:r>
        <w:rPr/>
        <w:t xml:space="preserve">” provision of Section 6(a) will not apply to Party A or to Party B </w:t>
      </w:r>
      <w:r>
        <w:rPr>
          <w:u w:val="double"/>
        </w:rPr>
        <w:t>“; provided, however, with respect to a party, where the Event of Default specified in Section 5(a)(vii)(1), (3), (4), (5), (6) or to the extent analogous thereto, (8), is governed by a system of law which does not permit termination to take place after the occurrence of the relevant Event of Default; then the Automatic Early Termination provisions of Section 6(a) will apply to such party.”</w:t>
      </w:r>
      <w:r>
        <w:rPr>
          <w:strike/>
        </w:rPr>
        <w:t>.</w:t>
      </w:r>
    </w:p>
    <w:p>
      <w:pPr>
        <w:pStyle w:val="BodyTextFirstIndent"/>
        <w:widowControl/>
        <w:rPr/>
      </w:pPr>
      <w:r>
        <w:rPr/>
        <w:t>(e)</w:t>
        <w:tab/>
      </w:r>
      <w:r>
        <w:rPr>
          <w:rStyle w:val="Bold"/>
        </w:rPr>
        <w:t>Payments on Early Termination</w:t>
      </w:r>
      <w:r>
        <w:rPr/>
        <w:t>.  For the purpose of Section 6(e):  (i) Market Quotation will apply, and (ii) the Second Method will apply.</w:t>
      </w:r>
    </w:p>
    <w:p>
      <w:pPr>
        <w:pStyle w:val="BodyTextFirstIndent"/>
        <w:widowControl/>
        <w:rPr/>
      </w:pPr>
      <w:r>
        <w:rPr/>
        <w:t>(f)</w:t>
        <w:tab/>
        <w:t>“</w:t>
      </w:r>
      <w:r>
        <w:rPr>
          <w:rStyle w:val="Bold"/>
        </w:rPr>
        <w:t>Termination Currency</w:t>
      </w:r>
      <w:r>
        <w:rPr/>
        <w:t>” means United States Dollars.</w:t>
      </w:r>
    </w:p>
    <w:p>
      <w:pPr>
        <w:pStyle w:val="BodyTextFirstIndent"/>
        <w:widowControl/>
        <w:rPr/>
      </w:pPr>
      <w:r>
        <w:rPr>
          <w:u w:val="double"/>
        </w:rPr>
        <w:t>(g)</w:t>
      </w:r>
      <w:r>
        <w:rPr/>
        <w:tab/>
      </w:r>
      <w:r>
        <w:rPr>
          <w:u w:val="double"/>
        </w:rPr>
        <w:t>“</w:t>
      </w:r>
      <w:r>
        <w:rPr>
          <w:b/>
          <w:u w:val="double"/>
        </w:rPr>
        <w:t>Additional Termination Event</w:t>
      </w:r>
      <w:r>
        <w:rPr>
          <w:u w:val="double"/>
        </w:rPr>
        <w:t>”.  Each or the following shall constitute an Additional Termination event:</w:t>
      </w:r>
    </w:p>
    <w:p>
      <w:pPr>
        <w:pStyle w:val="BodyTextIndent2"/>
        <w:tabs>
          <w:tab w:val="clear" w:pos="1350"/>
        </w:tabs>
        <w:ind w:firstLine="1440" w:end="0"/>
        <w:rPr/>
      </w:pPr>
      <w:r>
        <w:rPr>
          <w:rFonts w:eastAsia="Tms Rmn;Times New Roman"/>
        </w:rPr>
        <w:t xml:space="preserve"> </w:t>
      </w:r>
      <w:r>
        <w:rPr>
          <w:u w:val="double"/>
        </w:rPr>
        <w:t>(i)</w:t>
      </w:r>
      <w:r>
        <w:rPr/>
        <w:tab/>
      </w:r>
      <w:r>
        <w:rPr>
          <w:u w:val="double"/>
        </w:rPr>
        <w:t>Party A prepays in full, with any interest due and owing, all of its obligations under the “Construction and Term Credit Agreement,” dated as of September 24, 1999, among Party A, Party B, as Lead Arranger and Administrative Agent, and the various lenders thereto (hereinafter referred to as the “Credit Agreement”);</w:t>
      </w:r>
    </w:p>
    <w:p>
      <w:pPr>
        <w:pStyle w:val="BodyTextIndent2"/>
        <w:tabs>
          <w:tab w:val="clear" w:pos="1350"/>
        </w:tabs>
        <w:ind w:firstLine="1440" w:end="0"/>
        <w:rPr/>
      </w:pPr>
      <w:r>
        <w:rPr>
          <w:rFonts w:eastAsia="Tms Rmn;Times New Roman"/>
          <w:u w:val="double"/>
        </w:rPr>
        <w:t xml:space="preserve"> </w:t>
      </w:r>
      <w:r>
        <w:rPr>
          <w:u w:val="double"/>
        </w:rPr>
        <w:t>(ii)</w:t>
      </w:r>
      <w:r>
        <w:rPr/>
        <w:tab/>
      </w:r>
      <w:r>
        <w:rPr>
          <w:u w:val="double"/>
        </w:rPr>
        <w:t>Any Event of Default under Section 9 of the Credit Agreement occurs or its continuing and the obligations of Party A are accelerated pursuant to the terms thereunder.</w:t>
      </w:r>
    </w:p>
    <w:p>
      <w:pPr>
        <w:pStyle w:val="BodyTextFirstIndent"/>
        <w:widowControl/>
        <w:rPr>
          <w:u w:val="double"/>
        </w:rPr>
      </w:pPr>
      <w:r>
        <w:rPr>
          <w:u w:val="double"/>
        </w:rPr>
        <w:t>For the purposes of (i) and (ii) above, party A shall be the Affected Party and all Transactions will be Affected Transactions.</w:t>
      </w:r>
    </w:p>
    <w:p>
      <w:pPr>
        <w:pStyle w:val="BodyText"/>
        <w:keepNext w:val="true"/>
        <w:rPr/>
      </w:pPr>
      <w:r>
        <w:rPr>
          <w:rStyle w:val="Bold"/>
        </w:rPr>
        <w:t>Part 2.  Tax Representations.</w:t>
      </w:r>
    </w:p>
    <w:p>
      <w:pPr>
        <w:pStyle w:val="BodyTextFirstIndent"/>
        <w:keepNext w:val="true"/>
        <w:widowControl/>
        <w:rPr/>
      </w:pPr>
      <w:r>
        <w:rPr/>
        <w:t>(a)</w:t>
        <w:tab/>
      </w:r>
      <w:r>
        <w:rPr>
          <w:rStyle w:val="Bold"/>
        </w:rPr>
        <w:t>Payer Representations</w:t>
      </w:r>
      <w:r>
        <w:rPr/>
        <w:t>.  For the purpose of Section 3(e), Party A and Party B make the following representation:</w:t>
      </w:r>
    </w:p>
    <w:p>
      <w:pPr>
        <w:pStyle w:val="BodyTextFirstIndent"/>
        <w:widowControl/>
        <w:rPr/>
      </w:pPr>
      <w:r>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BodyTextFirstIndent"/>
        <w:widowControl/>
        <w:rPr/>
      </w:pPr>
      <w:r>
        <w:rPr/>
        <w:t>(b)</w:t>
        <w:tab/>
      </w:r>
      <w:r>
        <w:rPr>
          <w:rStyle w:val="Bold"/>
        </w:rPr>
        <w:t>Payee Representations</w:t>
      </w:r>
      <w:r>
        <w:rPr/>
        <w:t>.  For the purpose of Section 3(f), Party A and Party B make the following representations:</w:t>
      </w:r>
    </w:p>
    <w:p>
      <w:pPr>
        <w:pStyle w:val="BodyTextIndent2"/>
        <w:tabs>
          <w:tab w:val="clear" w:pos="1350"/>
        </w:tabs>
        <w:rPr/>
      </w:pPr>
      <w:r>
        <w:rPr/>
        <w:t>(i)</w:t>
        <w:tab/>
        <w:t xml:space="preserve">The following representation applies to Party A </w:t>
      </w:r>
      <w:r>
        <w:rPr>
          <w:strike/>
        </w:rPr>
        <w:t>and Party B, provided that, with respect to Party B, this representation applies only with respect to Transactions that Party B has not identified pursuant to clause (b)(ii)(1) of Part 2 hereof</w:t>
      </w:r>
      <w:r>
        <w:rPr/>
        <w:t>:</w:t>
      </w:r>
    </w:p>
    <w:p>
      <w:pPr>
        <w:pStyle w:val="BodyTextIndent"/>
        <w:widowControl/>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BodyTextIndent2"/>
        <w:tabs>
          <w:tab w:val="clear" w:pos="1350"/>
        </w:tabs>
        <w:rPr/>
      </w:pPr>
      <w:r>
        <w:rPr>
          <w:u w:val="double"/>
        </w:rPr>
        <w:t>(ii)</w:t>
      </w:r>
      <w:r>
        <w:rPr/>
        <w:tab/>
      </w:r>
      <w:r>
        <w:rPr>
          <w:u w:val="double"/>
        </w:rPr>
        <w:t>The following representations apply to Party B:   Party B is a public limited company organized under the laws of the United Kingdom.  It is entering into each transaction in the ordinary course of its trade or business as a recognized United Kingdom bank.  A portion of the payments received or to be received by Party B in connection with this Agreement are treated for U.S. federal income tax purposes as effectively connected with a trade or business carried on by Party B through a permanent establishment in the Specified Jurisdiction (the “Effectively Connected Portion”).  The remainder of the payments received or to be received by Party B in connection with this Agreement are treated for U.S. federal income tax purposes as not effectively connected with a trade or business carried on by Party B through a permanent establishment in the Specified Jurisdiction (the “Non-Effectively Connected Portion”).</w:t>
      </w:r>
    </w:p>
    <w:p>
      <w:pPr>
        <w:pStyle w:val="BodyTextIndent3"/>
        <w:rPr/>
      </w:pPr>
      <w:r>
        <w:rPr>
          <w:u w:val="double"/>
        </w:rPr>
        <w:t>(1)</w:t>
      </w:r>
      <w:r>
        <w:rPr/>
        <w:tab/>
      </w:r>
      <w:r>
        <w:rPr>
          <w:u w:val="double"/>
        </w:rPr>
        <w:t>With respect to the Effectively Connected Portion, Party B makes the following representation:</w:t>
      </w:r>
    </w:p>
    <w:p>
      <w:pPr>
        <w:pStyle w:val="BodyTextIndent3"/>
        <w:rPr>
          <w:u w:val="double"/>
        </w:rPr>
      </w:pPr>
      <w:r>
        <w:rPr>
          <w:u w:val="double"/>
        </w:rPr>
        <w:t>Each such payment received or to be received by Party B in connection with this Agreement is effectively connected with a trade or business carried on by Party B through a permanent establishment in the Specified Jurisdiction.</w:t>
      </w:r>
    </w:p>
    <w:p>
      <w:pPr>
        <w:pStyle w:val="BodyTextIndent3"/>
        <w:rPr/>
      </w:pPr>
      <w:r>
        <w:rPr>
          <w:u w:val="double"/>
        </w:rPr>
        <w:t>(2)</w:t>
      </w:r>
      <w:r>
        <w:rPr/>
        <w:tab/>
      </w:r>
      <w:r>
        <w:rPr>
          <w:u w:val="double"/>
        </w:rPr>
        <w:t>With respect to the Non-Effectively Connected Portion, Party B makes the following representation:</w:t>
      </w:r>
    </w:p>
    <w:p>
      <w:pPr>
        <w:pStyle w:val="BodyTextIndent3"/>
        <w:rPr>
          <w:u w:val="double"/>
        </w:rPr>
      </w:pPr>
      <w:r>
        <w:rPr>
          <w:u w:val="double"/>
        </w:rPr>
        <w:t>Party B is fully eligible for the benefits of the “Business Profits” or “Industrial and Commercial Profits” provision (as the case may be), the “Interest” provision, or the “Other Income” provision (if any) of the Specified Treaty with respect to any such payment described in such provisions and received or to be received by it in connection with this Agreement, and no such payment is effectively connected with a trade or business carried on by Party B through a permanent establishment in the Specified Jurisdiction.</w:t>
      </w:r>
    </w:p>
    <w:p>
      <w:pPr>
        <w:pStyle w:val="BodyText"/>
        <w:rPr/>
      </w:pPr>
      <w:r>
        <w:rPr/>
        <w:t>“</w:t>
      </w:r>
      <w:r>
        <w:rPr>
          <w:rStyle w:val="Bold"/>
        </w:rPr>
        <w:t>Specified Treaty</w:t>
      </w:r>
      <w:r>
        <w:rPr/>
        <w:t xml:space="preserve">” means, with respect to Party A, the income tax </w:t>
      </w:r>
      <w:r>
        <w:rPr>
          <w:strike/>
        </w:rPr>
        <w:t>treaty</w:t>
      </w:r>
      <w:r>
        <w:rPr/>
        <w:t xml:space="preserve"> </w:t>
      </w:r>
      <w:r>
        <w:rPr>
          <w:u w:val="double"/>
        </w:rPr>
        <w:t>convention</w:t>
      </w:r>
      <w:r>
        <w:rPr/>
        <w:t xml:space="preserve"> between the United States and England.</w:t>
      </w:r>
    </w:p>
    <w:p>
      <w:pPr>
        <w:pStyle w:val="BodyText"/>
        <w:rPr/>
      </w:pPr>
      <w:r>
        <w:rPr/>
        <w:t>“</w:t>
      </w:r>
      <w:r>
        <w:rPr>
          <w:rStyle w:val="Bold"/>
        </w:rPr>
        <w:t>Specified Jurisdiction</w:t>
      </w:r>
      <w:r>
        <w:rPr/>
        <w:t>” means, with respect to Party A, England.</w:t>
      </w:r>
    </w:p>
    <w:p>
      <w:pPr>
        <w:pStyle w:val="BodyText"/>
        <w:rPr/>
      </w:pPr>
      <w:r>
        <w:rPr/>
        <w:t>“</w:t>
      </w:r>
      <w:r>
        <w:rPr>
          <w:rStyle w:val="Bold"/>
        </w:rPr>
        <w:t>Specified Jurisdiction</w:t>
      </w:r>
      <w:r>
        <w:rPr/>
        <w:t>” means, with respect to Party B, the United States.</w:t>
      </w:r>
    </w:p>
    <w:p>
      <w:pPr>
        <w:pStyle w:val="BodyText"/>
        <w:rPr/>
      </w:pPr>
      <w:r>
        <w:rPr>
          <w:rStyle w:val="Bold"/>
          <w:strike/>
        </w:rPr>
        <w:t>(ii) The following representations apply to Party B: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BodyText"/>
        <w:rPr/>
      </w:pPr>
      <w:r>
        <w:rPr>
          <w:rStyle w:val="Bold"/>
          <w:strike/>
        </w:rPr>
        <w:t>(2) With respect to such Transactions, each payment received or to be received by Party B in connection with this Agreement will be effectively connected with its conduct of a trade or business in the United States.</w:t>
      </w:r>
    </w:p>
    <w:p>
      <w:pPr>
        <w:pStyle w:val="BodyText"/>
        <w:rPr/>
      </w:pPr>
      <w:r>
        <w:rPr>
          <w:rStyle w:val="Bold"/>
        </w:rPr>
        <w:t>Part 3.  Agreement to Deliver Documents.</w:t>
      </w:r>
    </w:p>
    <w:p>
      <w:pPr>
        <w:pStyle w:val="BodyTextIndent3"/>
        <w:rPr/>
      </w:pPr>
      <w:r>
        <w:rPr>
          <w:u w:val="double"/>
        </w:rPr>
        <w:t>(a)</w:t>
        <w:tab/>
      </w:r>
      <w:r>
        <w:rPr/>
        <w:t>Tax forms, documents or certificates to be delivered are:</w:t>
      </w:r>
    </w:p>
    <w:tbl>
      <w:tblPr>
        <w:tblW w:w="9518" w:type="dxa"/>
        <w:jc w:val="center"/>
        <w:tblInd w:w="0" w:type="dxa"/>
        <w:tblLayout w:type="fixed"/>
        <w:tblCellMar>
          <w:top w:w="0" w:type="dxa"/>
          <w:start w:w="216" w:type="dxa"/>
          <w:bottom w:w="0" w:type="dxa"/>
          <w:end w:w="216" w:type="dxa"/>
        </w:tblCellMar>
      </w:tblPr>
      <w:tblGrid>
        <w:gridCol w:w="2115"/>
        <w:gridCol w:w="3915"/>
        <w:gridCol w:w="3488"/>
      </w:tblGrid>
      <w:tr>
        <w:trPr/>
        <w:tc>
          <w:tcPr>
            <w:tcW w:w="2115" w:type="dxa"/>
            <w:tcBorders/>
          </w:tcPr>
          <w:p>
            <w:pPr>
              <w:pStyle w:val="Normal"/>
              <w:widowControl/>
              <w:rPr>
                <w:sz w:val="22"/>
                <w:u w:val="double"/>
              </w:rPr>
            </w:pPr>
            <w:r>
              <w:rPr>
                <w:b/>
                <w:sz w:val="22"/>
                <w:u w:val="double"/>
              </w:rPr>
              <w:t>Party required to deliver document</w:t>
            </w:r>
          </w:p>
        </w:tc>
        <w:tc>
          <w:tcPr>
            <w:tcW w:w="3915" w:type="dxa"/>
            <w:tcBorders/>
          </w:tcPr>
          <w:p>
            <w:pPr>
              <w:pStyle w:val="Normal"/>
              <w:widowControl/>
              <w:snapToGrid w:val="false"/>
              <w:rPr>
                <w:sz w:val="22"/>
                <w:u w:val="double"/>
              </w:rPr>
            </w:pPr>
            <w:r>
              <w:rPr>
                <w:sz w:val="22"/>
                <w:u w:val="double"/>
              </w:rPr>
            </w:r>
          </w:p>
          <w:p>
            <w:pPr>
              <w:pStyle w:val="Normal"/>
              <w:widowControl/>
              <w:rPr>
                <w:b/>
                <w:sz w:val="22"/>
                <w:u w:val="double"/>
              </w:rPr>
            </w:pPr>
            <w:r>
              <w:rPr>
                <w:b/>
                <w:sz w:val="22"/>
                <w:u w:val="double"/>
              </w:rPr>
              <w:t>Form/Document/Certificate</w:t>
            </w:r>
          </w:p>
        </w:tc>
        <w:tc>
          <w:tcPr>
            <w:tcW w:w="3488" w:type="dxa"/>
            <w:tcBorders/>
          </w:tcPr>
          <w:p>
            <w:pPr>
              <w:pStyle w:val="Normal"/>
              <w:widowControl/>
              <w:spacing w:lineRule="atLeast" w:line="240" w:before="240" w:after="0"/>
              <w:rPr>
                <w:sz w:val="22"/>
                <w:u w:val="double"/>
              </w:rPr>
            </w:pPr>
            <w:r>
              <w:rPr>
                <w:b/>
                <w:sz w:val="22"/>
                <w:u w:val="double"/>
              </w:rPr>
              <w:t>Date by which to be delivered</w:t>
            </w:r>
          </w:p>
        </w:tc>
      </w:tr>
      <w:tr>
        <w:trPr/>
        <w:tc>
          <w:tcPr>
            <w:tcW w:w="2115" w:type="dxa"/>
            <w:tcBorders/>
          </w:tcPr>
          <w:p>
            <w:pPr>
              <w:pStyle w:val="Normal"/>
              <w:widowControl/>
              <w:spacing w:lineRule="atLeast" w:line="240" w:before="240" w:after="0"/>
              <w:rPr>
                <w:sz w:val="22"/>
                <w:u w:val="double"/>
              </w:rPr>
            </w:pPr>
            <w:r>
              <w:rPr>
                <w:sz w:val="22"/>
                <w:u w:val="double"/>
              </w:rPr>
              <w:t>Party B</w:t>
            </w:r>
          </w:p>
        </w:tc>
        <w:tc>
          <w:tcPr>
            <w:tcW w:w="3915" w:type="dxa"/>
            <w:tcBorders/>
          </w:tcPr>
          <w:p>
            <w:pPr>
              <w:pStyle w:val="Justified"/>
              <w:widowControl/>
              <w:spacing w:lineRule="atLeast" w:line="240" w:before="240" w:after="0"/>
              <w:rPr>
                <w:rFonts w:ascii="Times New Roman" w:hAnsi="Times New Roman" w:cs="Times New Roman"/>
                <w:u w:val="double"/>
              </w:rPr>
            </w:pPr>
            <w:r>
              <w:rPr>
                <w:rFonts w:cs="Times New Roman" w:ascii="Times New Roman" w:hAnsi="Times New Roman"/>
                <w:u w:val="double"/>
              </w:rPr>
              <w:t>United States tax form W-8BEN claiming the benefits of the Specified Treaty for the Non-Effectively Connected Portion of the payments received or to be received by Party B.</w:t>
            </w:r>
          </w:p>
        </w:tc>
        <w:tc>
          <w:tcPr>
            <w:tcW w:w="3488" w:type="dxa"/>
            <w:tcBorders/>
          </w:tcPr>
          <w:p>
            <w:pPr>
              <w:pStyle w:val="Normal"/>
              <w:widowControl/>
              <w:spacing w:lineRule="atLeast" w:line="240" w:before="240" w:after="0"/>
              <w:jc w:val="both"/>
              <w:rPr>
                <w:sz w:val="22"/>
                <w:u w:val="double"/>
              </w:rPr>
            </w:pPr>
            <w:r>
              <w:rPr>
                <w:sz w:val="22"/>
                <w:u w:val="double"/>
              </w:rPr>
              <w:t>Upon execution of this Agreement</w:t>
            </w:r>
          </w:p>
        </w:tc>
      </w:tr>
      <w:tr>
        <w:trPr/>
        <w:tc>
          <w:tcPr>
            <w:tcW w:w="2115" w:type="dxa"/>
            <w:tcBorders/>
          </w:tcPr>
          <w:p>
            <w:pPr>
              <w:pStyle w:val="Normal"/>
              <w:widowControl/>
              <w:spacing w:lineRule="atLeast" w:line="240" w:before="240" w:after="0"/>
              <w:rPr>
                <w:sz w:val="22"/>
                <w:u w:val="double"/>
              </w:rPr>
            </w:pPr>
            <w:r>
              <w:rPr>
                <w:sz w:val="22"/>
                <w:u w:val="double"/>
              </w:rPr>
              <w:t>Party B</w:t>
            </w:r>
          </w:p>
        </w:tc>
        <w:tc>
          <w:tcPr>
            <w:tcW w:w="3915" w:type="dxa"/>
            <w:tcBorders/>
          </w:tcPr>
          <w:p>
            <w:pPr>
              <w:pStyle w:val="Normal"/>
              <w:widowControl/>
              <w:spacing w:lineRule="atLeast" w:line="240" w:before="240" w:after="0"/>
              <w:jc w:val="both"/>
              <w:rPr>
                <w:sz w:val="22"/>
                <w:u w:val="double"/>
              </w:rPr>
            </w:pPr>
            <w:r>
              <w:rPr>
                <w:sz w:val="22"/>
                <w:u w:val="double"/>
              </w:rPr>
              <w:t>An executed United States internal Revenue Service Form 4224 (or any successor thereto) with respect to the Effectively Connected Portion of the payments received or to be received by Party B.</w:t>
            </w:r>
          </w:p>
        </w:tc>
        <w:tc>
          <w:tcPr>
            <w:tcW w:w="3488" w:type="dxa"/>
            <w:tcBorders/>
          </w:tcPr>
          <w:p>
            <w:pPr>
              <w:pStyle w:val="Justified"/>
              <w:widowControl/>
              <w:spacing w:lineRule="atLeast" w:line="240" w:before="240" w:after="0"/>
              <w:rPr>
                <w:rFonts w:ascii="Times New Roman" w:hAnsi="Times New Roman" w:cs="Times New Roman"/>
                <w:u w:val="double"/>
              </w:rPr>
            </w:pPr>
            <w:r>
              <w:rPr>
                <w:rFonts w:cs="Times New Roman" w:ascii="Times New Roman" w:hAnsi="Times New Roman"/>
                <w:u w:val="double"/>
              </w:rPr>
              <w:t>Upon execution of this Agreement, and thereafter promptly upon reasonable demand by Party A.</w:t>
            </w:r>
          </w:p>
        </w:tc>
      </w:tr>
      <w:tr>
        <w:trPr/>
        <w:tc>
          <w:tcPr>
            <w:tcW w:w="2115" w:type="dxa"/>
            <w:tcBorders/>
          </w:tcPr>
          <w:p>
            <w:pPr>
              <w:pStyle w:val="Normal"/>
              <w:widowControl/>
              <w:spacing w:lineRule="atLeast" w:line="240" w:before="240" w:after="0"/>
              <w:rPr>
                <w:sz w:val="22"/>
                <w:u w:val="double"/>
              </w:rPr>
            </w:pPr>
            <w:r>
              <w:rPr>
                <w:sz w:val="22"/>
                <w:u w:val="double"/>
              </w:rPr>
              <w:t>Party A</w:t>
            </w:r>
          </w:p>
        </w:tc>
        <w:tc>
          <w:tcPr>
            <w:tcW w:w="3915" w:type="dxa"/>
            <w:tcBorders/>
          </w:tcPr>
          <w:p>
            <w:pPr>
              <w:pStyle w:val="Normal"/>
              <w:widowControl/>
              <w:spacing w:lineRule="atLeast" w:line="240" w:before="240" w:after="0"/>
              <w:jc w:val="both"/>
              <w:rPr>
                <w:sz w:val="22"/>
                <w:u w:val="double"/>
              </w:rPr>
            </w:pPr>
            <w:r>
              <w:rPr>
                <w:sz w:val="22"/>
                <w:u w:val="double"/>
              </w:rPr>
              <w:t>An executed United States Internal Revenue Service Form W-9 (or any successor thereto) with respect to any payments received or to be received by Party A.</w:t>
            </w:r>
          </w:p>
        </w:tc>
        <w:tc>
          <w:tcPr>
            <w:tcW w:w="3488" w:type="dxa"/>
            <w:tcBorders/>
          </w:tcPr>
          <w:p>
            <w:pPr>
              <w:pStyle w:val="Justified"/>
              <w:widowControl/>
              <w:snapToGrid w:val="false"/>
              <w:spacing w:lineRule="atLeast" w:line="240" w:before="240" w:after="0"/>
              <w:rPr>
                <w:rFonts w:ascii="Times New Roman" w:hAnsi="Times New Roman" w:cs="Times New Roman"/>
                <w:b/>
                <w:sz w:val="22"/>
                <w:u w:val="double"/>
              </w:rPr>
            </w:pPr>
            <w:r>
              <w:rPr>
                <w:rFonts w:cs="Times New Roman" w:ascii="Times New Roman" w:hAnsi="Times New Roman"/>
                <w:b/>
                <w:sz w:val="22"/>
                <w:u w:val="double"/>
              </w:rPr>
            </w:r>
          </w:p>
        </w:tc>
      </w:tr>
    </w:tbl>
    <w:p>
      <w:pPr>
        <w:pStyle w:val="Normal"/>
        <w:widowControl/>
        <w:rPr>
          <w:u w:val="double"/>
        </w:rPr>
      </w:pPr>
      <w:r>
        <w:rPr>
          <w:u w:val="double"/>
        </w:rPr>
      </w:r>
    </w:p>
    <w:p>
      <w:pPr>
        <w:pStyle w:val="BodyTextIndent3"/>
        <w:rPr/>
      </w:pPr>
      <w:r>
        <w:rPr>
          <w:u w:val="double"/>
        </w:rPr>
        <w:t>(b)</w:t>
      </w:r>
      <w:r>
        <w:rPr/>
        <w:tab/>
        <w:t xml:space="preserve">For the purpose of Section 4(a), each party agrees to deliver the following documents, as applicable (unless previously delivered in connection with the </w:t>
      </w:r>
      <w:r>
        <w:rPr>
          <w:strike/>
        </w:rPr>
        <w:t>closing of the Construction and Term Credit Agreement, dated as of September 24, 1999, among Party A, Party B, as Lead Arranger and Administrative Agent, and the Lenders party thereto (the “Credit Agreement”)):</w:t>
      </w:r>
      <w:r>
        <w:rPr/>
        <w:t xml:space="preserve"> </w:t>
      </w:r>
      <w:r>
        <w:rPr>
          <w:u w:val="double"/>
        </w:rPr>
        <w:t>Credit Agreement):</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blHeader w:val="true"/>
        </w:trPr>
        <w:tc>
          <w:tcPr>
            <w:tcW w:w="1926" w:type="dxa"/>
            <w:tcBorders/>
            <w:vAlign w:val="bottom"/>
          </w:tcPr>
          <w:p>
            <w:pPr>
              <w:pStyle w:val="Normal"/>
              <w:widowControl/>
              <w:spacing w:lineRule="atLeast" w:line="240" w:before="240" w:after="0"/>
              <w:rPr>
                <w:sz w:val="22"/>
              </w:rPr>
            </w:pPr>
            <w:r>
              <w:rPr>
                <w:b/>
                <w:sz w:val="22"/>
              </w:rPr>
              <w:t xml:space="preserve">Party required to deliver </w:t>
            </w:r>
            <w:r>
              <w:rPr>
                <w:b/>
                <w:sz w:val="22"/>
                <w:u w:val="single"/>
              </w:rPr>
              <w:t>document</w:t>
            </w:r>
          </w:p>
        </w:tc>
        <w:tc>
          <w:tcPr>
            <w:tcW w:w="4104" w:type="dxa"/>
            <w:tcBorders/>
            <w:vAlign w:val="bottom"/>
          </w:tcPr>
          <w:p>
            <w:pPr>
              <w:pStyle w:val="Heading5"/>
              <w:keepNext w:val="false"/>
              <w:widowControl/>
              <w:spacing w:before="240" w:after="0"/>
              <w:ind w:hanging="0" w:start="0"/>
              <w:rPr>
                <w:u w:val="single"/>
              </w:rPr>
            </w:pPr>
            <w:r>
              <w:rPr>
                <w:u w:val="single"/>
              </w:rPr>
              <w:t>Form/Document/Certificate</w:t>
            </w:r>
          </w:p>
        </w:tc>
        <w:tc>
          <w:tcPr>
            <w:tcW w:w="2340" w:type="dxa"/>
            <w:tcBorders/>
            <w:vAlign w:val="bottom"/>
          </w:tcPr>
          <w:p>
            <w:pPr>
              <w:pStyle w:val="Normal"/>
              <w:widowControl/>
              <w:spacing w:lineRule="atLeast" w:line="240" w:before="240" w:after="0"/>
              <w:rPr>
                <w:sz w:val="22"/>
              </w:rPr>
            </w:pPr>
            <w:r>
              <w:rPr>
                <w:b/>
                <w:sz w:val="22"/>
              </w:rPr>
              <w:t xml:space="preserve">Date by which to be </w:t>
            </w:r>
            <w:r>
              <w:rPr>
                <w:b/>
                <w:sz w:val="22"/>
                <w:u w:val="single"/>
              </w:rPr>
              <w:t>delivered</w:t>
            </w:r>
          </w:p>
        </w:tc>
        <w:tc>
          <w:tcPr>
            <w:tcW w:w="1926" w:type="dxa"/>
            <w:tcBorders/>
            <w:vAlign w:val="bottom"/>
          </w:tcPr>
          <w:p>
            <w:pPr>
              <w:pStyle w:val="Normal"/>
              <w:widowControl/>
              <w:spacing w:lineRule="atLeast" w:line="240" w:before="240" w:after="0"/>
              <w:rPr>
                <w:sz w:val="22"/>
              </w:rPr>
            </w:pPr>
            <w:r>
              <w:rPr>
                <w:b/>
                <w:sz w:val="22"/>
              </w:rPr>
              <w:t xml:space="preserve">Covered by Section 3(d) </w:t>
            </w:r>
            <w:r>
              <w:rPr>
                <w:b/>
                <w:sz w:val="22"/>
                <w:u w:val="single"/>
              </w:rPr>
              <w:t>Representation</w:t>
            </w:r>
          </w:p>
        </w:tc>
      </w:tr>
      <w:tr>
        <w:trPr/>
        <w:tc>
          <w:tcPr>
            <w:tcW w:w="1926" w:type="dxa"/>
            <w:tcBorders/>
          </w:tcPr>
          <w:p>
            <w:pPr>
              <w:pStyle w:val="Normal"/>
              <w:widowControl/>
              <w:spacing w:lineRule="atLeast" w:line="240" w:before="240" w:after="0"/>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incumbency and specimen signatures with respect to the party’s signatories executing this Agreement.</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w:t>
            </w:r>
          </w:p>
        </w:tc>
        <w:tc>
          <w:tcPr>
            <w:tcW w:w="4104" w:type="dxa"/>
            <w:tcBorders/>
          </w:tcPr>
          <w:p>
            <w:pPr>
              <w:pStyle w:val="Normal"/>
              <w:widowControl/>
              <w:spacing w:lineRule="atLeast" w:line="240" w:before="240" w:after="0"/>
              <w:jc w:val="both"/>
              <w:rPr/>
            </w:pPr>
            <w:r>
              <w:rPr>
                <w:sz w:val="22"/>
              </w:rPr>
              <w:t>A copy of Party A’s most recent unaudited financial statements</w:t>
            </w:r>
            <w:r>
              <w:rPr/>
              <w:t>.</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Financial Statement of Party A.</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bl>
    <w:p>
      <w:pPr>
        <w:pStyle w:val="BodyText"/>
        <w:rPr/>
      </w:pPr>
      <w:r>
        <w:rPr>
          <w:rStyle w:val="Bold"/>
        </w:rPr>
        <w:t>Part 4.  Miscellaneous.</w:t>
      </w:r>
    </w:p>
    <w:p>
      <w:pPr>
        <w:pStyle w:val="BodyTextFirstIndent"/>
        <w:widowControl/>
        <w:rPr/>
      </w:pPr>
      <w:r>
        <w:rPr/>
        <w:t>(a)</w:t>
        <w:tab/>
      </w:r>
      <w:r>
        <w:rPr>
          <w:rStyle w:val="Bold"/>
        </w:rPr>
        <w:t>Addresses for Notices</w:t>
      </w:r>
      <w:r>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BodyText"/>
        <w:rPr/>
      </w:pPr>
      <w:r>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widowControl/>
              <w:tabs>
                <w:tab w:val="clear" w:pos="720"/>
                <w:tab w:val="left" w:pos="2880" w:leader="none"/>
                <w:tab w:val="left" w:pos="9360" w:leader="none"/>
              </w:tabs>
              <w:spacing w:lineRule="atLeast" w:line="240"/>
              <w:rPr>
                <w:sz w:val="22"/>
              </w:rPr>
            </w:pPr>
            <w:r>
              <w:rPr>
                <w:sz w:val="22"/>
              </w:rPr>
              <w:t>Street Address:(for courier delivery)</w:t>
            </w:r>
          </w:p>
          <w:p>
            <w:pPr>
              <w:pStyle w:val="Normal"/>
              <w:widowControl/>
              <w:tabs>
                <w:tab w:val="left" w:pos="720" w:leader="none"/>
                <w:tab w:val="right" w:pos="9360" w:leader="dot"/>
              </w:tabs>
              <w:spacing w:lineRule="exact" w:line="240"/>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Lost Creek Gathering Company, L.L.C.</w:t>
            </w:r>
          </w:p>
          <w:p>
            <w:pPr>
              <w:pStyle w:val="Normal"/>
              <w:widowControl/>
              <w:tabs>
                <w:tab w:val="clear" w:pos="720"/>
                <w:tab w:val="left" w:pos="4230" w:leader="none"/>
                <w:tab w:val="left" w:pos="9360" w:leader="none"/>
              </w:tabs>
              <w:spacing w:lineRule="exact" w:line="240"/>
              <w:jc w:val="both"/>
              <w:rPr>
                <w:sz w:val="22"/>
              </w:rPr>
            </w:pPr>
            <w:r>
              <w:rPr>
                <w:sz w:val="22"/>
              </w:rPr>
              <w:t>c/o Burlington Resources Trading Inc.</w:t>
            </w:r>
          </w:p>
          <w:p>
            <w:pPr>
              <w:pStyle w:val="Normal"/>
              <w:widowControl/>
              <w:tabs>
                <w:tab w:val="clear" w:pos="720"/>
                <w:tab w:val="left" w:pos="4230" w:leader="none"/>
                <w:tab w:val="left" w:pos="9360" w:leader="none"/>
              </w:tabs>
              <w:spacing w:lineRule="exact" w:line="240"/>
              <w:jc w:val="both"/>
              <w:rPr>
                <w:sz w:val="22"/>
              </w:rPr>
            </w:pPr>
            <w:r>
              <w:rPr>
                <w:sz w:val="22"/>
              </w:rPr>
              <w:t>5651 Westheimer, Suite 1400</w:t>
            </w:r>
          </w:p>
          <w:p>
            <w:pPr>
              <w:pStyle w:val="Normal"/>
              <w:widowControl/>
              <w:tabs>
                <w:tab w:val="clear" w:pos="720"/>
                <w:tab w:val="left" w:pos="4230" w:leader="none"/>
                <w:tab w:val="left" w:pos="9360" w:leader="none"/>
              </w:tabs>
              <w:spacing w:lineRule="exact" w:line="240"/>
              <w:jc w:val="both"/>
              <w:rPr>
                <w:sz w:val="22"/>
              </w:rPr>
            </w:pPr>
            <w:r>
              <w:rPr>
                <w:sz w:val="22"/>
              </w:rPr>
              <w:t>Houston, Texas  77095</w:t>
            </w:r>
          </w:p>
          <w:p>
            <w:pPr>
              <w:pStyle w:val="Justified"/>
              <w:widowControl/>
              <w:spacing w:lineRule="exact" w:line="240" w:before="0" w:after="0"/>
              <w:rPr>
                <w:rFonts w:ascii="Times New Roman" w:hAnsi="Times New Roman" w:cs="Times New Roman"/>
              </w:rPr>
            </w:pPr>
            <w:r>
              <w:rPr>
                <w:rFonts w:cs="Times New Roman" w:ascii="Times New Roman" w:hAnsi="Times New Roman"/>
              </w:rPr>
              <w:t>Attn:  Lost Creek Manager</w:t>
            </w:r>
          </w:p>
          <w:p>
            <w:pPr>
              <w:pStyle w:val="Heading2"/>
              <w:spacing w:before="0" w:after="240"/>
              <w:rPr>
                <w:rFonts w:ascii="Times New Roman" w:hAnsi="Times New Roman" w:cs="Times New Roman"/>
              </w:rPr>
            </w:pPr>
            <w:r>
              <w:rPr>
                <w:rFonts w:cs="Times New Roman" w:ascii="Times New Roman" w:hAnsi="Times New Roman"/>
              </w:rPr>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624-9645</w:t>
            </w:r>
          </w:p>
          <w:p>
            <w:pPr>
              <w:pStyle w:val="Normal"/>
              <w:widowControl/>
              <w:spacing w:lineRule="exact" w:line="240"/>
              <w:ind w:start="72" w:end="0"/>
              <w:jc w:val="both"/>
              <w:rPr>
                <w:sz w:val="22"/>
              </w:rPr>
            </w:pPr>
            <w:r>
              <w:rPr>
                <w:sz w:val="22"/>
              </w:rPr>
              <w:t>Telephone No.:  (713) 624-9000</w:t>
            </w:r>
          </w:p>
        </w:tc>
      </w:tr>
    </w:tbl>
    <w:p>
      <w:pPr>
        <w:pStyle w:val="BodyTextFirstIndent"/>
        <w:widowControl/>
        <w:rPr/>
      </w:pPr>
      <w:r>
        <w:rPr/>
        <w:t>A copy of any notice sent to Party A pursuant to Section 5 or 6 must also be sent to Andrews &amp; Kurth L.L.P., 600 Travis, Suite 4200, Houston, Texas  77002, Attention:  W. Roberts Taylor, Jr.</w:t>
      </w:r>
    </w:p>
    <w:p>
      <w:pPr>
        <w:pStyle w:val="BodyText"/>
        <w:keepNext w:val="true"/>
        <w:rPr/>
      </w:pPr>
      <w:r>
        <w:rPr/>
        <w:t>Address for notices or communications to Party B:</w:t>
      </w:r>
    </w:p>
    <w:tbl>
      <w:tblPr>
        <w:tblW w:w="9918" w:type="dxa"/>
        <w:jc w:val="start"/>
        <w:tblInd w:w="0" w:type="dxa"/>
        <w:tblLayout w:type="fixed"/>
        <w:tblCellMar>
          <w:top w:w="0" w:type="dxa"/>
          <w:start w:w="108" w:type="dxa"/>
          <w:bottom w:w="0" w:type="dxa"/>
          <w:end w:w="108" w:type="dxa"/>
        </w:tblCellMar>
      </w:tblPr>
      <w:tblGrid>
        <w:gridCol w:w="2178"/>
        <w:gridCol w:w="4090"/>
        <w:gridCol w:w="3650"/>
      </w:tblGrid>
      <w:tr>
        <w:trPr/>
        <w:tc>
          <w:tcPr>
            <w:tcW w:w="2178" w:type="dxa"/>
            <w:tcBorders/>
          </w:tcPr>
          <w:p>
            <w:pPr>
              <w:pStyle w:val="Normal"/>
              <w:keepNext w:val="true"/>
              <w:widowControl/>
              <w:tabs>
                <w:tab w:val="clear" w:pos="720"/>
                <w:tab w:val="left" w:pos="2880" w:leader="none"/>
                <w:tab w:val="left" w:pos="9360" w:leader="none"/>
              </w:tabs>
              <w:spacing w:lineRule="atLeast" w:line="240"/>
              <w:rPr>
                <w:strike/>
                <w:sz w:val="22"/>
              </w:rPr>
            </w:pPr>
            <w:r>
              <w:rPr>
                <w:sz w:val="22"/>
              </w:rPr>
              <w:t>Street Address:(for courier delivery)</w:t>
            </w:r>
          </w:p>
          <w:p>
            <w:pPr>
              <w:pStyle w:val="Normal"/>
              <w:keepNext w:val="true"/>
              <w:widowControl/>
              <w:tabs>
                <w:tab w:val="clear" w:pos="720"/>
                <w:tab w:val="left" w:pos="2880" w:leader="none"/>
                <w:tab w:val="left" w:pos="9360" w:leader="none"/>
              </w:tabs>
              <w:spacing w:lineRule="atLeast" w:line="240"/>
              <w:rPr>
                <w:strike/>
                <w:sz w:val="22"/>
              </w:rPr>
            </w:pPr>
            <w:r>
              <w:rPr>
                <w:strike/>
                <w:sz w:val="22"/>
              </w:rPr>
            </w:r>
          </w:p>
        </w:tc>
        <w:tc>
          <w:tcPr>
            <w:tcW w:w="4090" w:type="dxa"/>
            <w:tcBorders/>
          </w:tcPr>
          <w:p>
            <w:pPr>
              <w:pStyle w:val="Normal"/>
              <w:keepNext w:val="true"/>
              <w:widowControl/>
              <w:spacing w:lineRule="exact" w:line="240"/>
              <w:jc w:val="both"/>
              <w:rPr>
                <w:sz w:val="22"/>
              </w:rPr>
            </w:pPr>
            <w:r>
              <w:rPr>
                <w:sz w:val="22"/>
              </w:rPr>
              <w:t xml:space="preserve"> </w:t>
            </w:r>
            <w:r>
              <w:rPr>
                <w:strike/>
                <w:sz w:val="22"/>
              </w:rPr>
              <w:t>Barclays Bank PLC</w:t>
            </w:r>
            <w:r>
              <w:rPr>
                <w:sz w:val="22"/>
              </w:rPr>
              <w:t xml:space="preserve"> </w:t>
            </w:r>
            <w:r>
              <w:rPr>
                <w:sz w:val="22"/>
                <w:u w:val="double"/>
              </w:rPr>
              <w:t>5 The North Colonnade</w:t>
            </w:r>
          </w:p>
          <w:p>
            <w:pPr>
              <w:pStyle w:val="Normal"/>
              <w:keepNext w:val="true"/>
              <w:widowControl/>
              <w:spacing w:lineRule="exact" w:line="240"/>
              <w:jc w:val="both"/>
              <w:rPr/>
            </w:pPr>
            <w:r>
              <w:rPr>
                <w:strike/>
                <w:sz w:val="22"/>
              </w:rPr>
              <w:t>222 Broadway</w:t>
            </w:r>
            <w:r>
              <w:rPr>
                <w:sz w:val="22"/>
              </w:rPr>
              <w:t xml:space="preserve"> </w:t>
            </w:r>
            <w:r>
              <w:rPr>
                <w:sz w:val="22"/>
                <w:u w:val="double"/>
              </w:rPr>
              <w:t>Canary Wharf</w:t>
            </w:r>
          </w:p>
          <w:p>
            <w:pPr>
              <w:pStyle w:val="Normal"/>
              <w:keepNext w:val="true"/>
              <w:widowControl/>
              <w:spacing w:lineRule="exact" w:line="240"/>
              <w:jc w:val="both"/>
              <w:rPr>
                <w:sz w:val="22"/>
                <w:u w:val="double"/>
              </w:rPr>
            </w:pPr>
            <w:r>
              <w:rPr>
                <w:sz w:val="22"/>
                <w:u w:val="double"/>
              </w:rPr>
              <w:t>London E14 4BB, England</w:t>
            </w:r>
          </w:p>
          <w:p>
            <w:pPr>
              <w:pStyle w:val="Normal"/>
              <w:keepNext w:val="true"/>
              <w:widowControl/>
              <w:spacing w:lineRule="exact" w:line="240" w:before="0" w:after="240"/>
              <w:jc w:val="both"/>
              <w:rPr>
                <w:sz w:val="22"/>
                <w:u w:val="double"/>
              </w:rPr>
            </w:pPr>
            <w:r>
              <w:rPr>
                <w:sz w:val="22"/>
                <w:u w:val="double"/>
              </w:rPr>
              <w:t>Attention:  Swaps Documentation</w:t>
            </w:r>
          </w:p>
          <w:p>
            <w:pPr>
              <w:pStyle w:val="Normal"/>
              <w:keepNext w:val="true"/>
              <w:widowControl/>
              <w:spacing w:lineRule="exact" w:line="240"/>
              <w:jc w:val="both"/>
              <w:rPr>
                <w:b/>
                <w:sz w:val="22"/>
                <w:u w:val="double"/>
              </w:rPr>
            </w:pPr>
            <w:r>
              <w:rPr>
                <w:b/>
                <w:sz w:val="22"/>
                <w:u w:val="double"/>
              </w:rPr>
              <w:t>With a copy in the case of notices or communications relating to Section 5,6, 7, 11 or 13 to:</w:t>
            </w:r>
          </w:p>
          <w:p>
            <w:pPr>
              <w:pStyle w:val="Normal"/>
              <w:keepNext w:val="true"/>
              <w:widowControl/>
              <w:spacing w:lineRule="exact" w:line="240"/>
              <w:jc w:val="both"/>
              <w:rPr>
                <w:b/>
                <w:sz w:val="22"/>
                <w:u w:val="double"/>
              </w:rPr>
            </w:pPr>
            <w:r>
              <w:rPr>
                <w:b/>
                <w:sz w:val="22"/>
                <w:u w:val="double"/>
              </w:rPr>
            </w:r>
          </w:p>
        </w:tc>
        <w:tc>
          <w:tcPr>
            <w:tcW w:w="365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rPr>
                <w:sz w:val="22"/>
                <w:u w:val="double"/>
              </w:rPr>
            </w:pPr>
            <w:r>
              <w:rPr>
                <w:sz w:val="22"/>
                <w:u w:val="double"/>
              </w:rPr>
              <w:t>Facsimile No.:  0207-773-6857/6858</w:t>
            </w:r>
          </w:p>
          <w:p>
            <w:pPr>
              <w:pStyle w:val="Normal"/>
              <w:keepNext w:val="true"/>
              <w:widowControl/>
              <w:spacing w:lineRule="exact" w:line="240"/>
              <w:ind w:start="72" w:end="0"/>
              <w:rPr>
                <w:sz w:val="22"/>
                <w:u w:val="double"/>
              </w:rPr>
            </w:pPr>
            <w:r>
              <w:rPr>
                <w:sz w:val="22"/>
                <w:u w:val="double"/>
              </w:rPr>
              <w:t>Telephone No.:  0207-773-6915/6904</w:t>
            </w:r>
          </w:p>
          <w:p>
            <w:pPr>
              <w:pStyle w:val="Normal"/>
              <w:keepNext w:val="true"/>
              <w:widowControl/>
              <w:spacing w:lineRule="exact" w:line="240"/>
              <w:ind w:start="72" w:end="0"/>
              <w:rPr>
                <w:sz w:val="22"/>
                <w:u w:val="double"/>
              </w:rPr>
            </w:pPr>
            <w:r>
              <w:rPr>
                <w:sz w:val="22"/>
                <w:u w:val="double"/>
              </w:rPr>
              <w:t>Telex No.:  811234</w:t>
            </w:r>
          </w:p>
          <w:p>
            <w:pPr>
              <w:pStyle w:val="Normal"/>
              <w:keepNext w:val="true"/>
              <w:widowControl/>
              <w:spacing w:lineRule="exact" w:line="240"/>
              <w:ind w:start="72" w:end="0"/>
              <w:rPr>
                <w:sz w:val="22"/>
                <w:u w:val="double"/>
              </w:rPr>
            </w:pPr>
            <w:r>
              <w:rPr>
                <w:sz w:val="22"/>
                <w:u w:val="double"/>
              </w:rPr>
              <w:t>Answerback:  BZWSEC-G</w:t>
            </w:r>
          </w:p>
        </w:tc>
      </w:tr>
      <w:tr>
        <w:trPr/>
        <w:tc>
          <w:tcPr>
            <w:tcW w:w="2178" w:type="dxa"/>
            <w:tcBorders/>
          </w:tcPr>
          <w:p>
            <w:pPr>
              <w:pStyle w:val="Normal"/>
              <w:widowControl/>
              <w:snapToGrid w:val="false"/>
              <w:spacing w:lineRule="atLeast" w:line="240"/>
              <w:rPr>
                <w:sz w:val="22"/>
                <w:u w:val="double"/>
              </w:rPr>
            </w:pPr>
            <w:r>
              <w:rPr>
                <w:sz w:val="22"/>
                <w:u w:val="double"/>
              </w:rPr>
            </w:r>
          </w:p>
        </w:tc>
        <w:tc>
          <w:tcPr>
            <w:tcW w:w="4090" w:type="dxa"/>
            <w:tcBorders/>
          </w:tcPr>
          <w:p>
            <w:pPr>
              <w:pStyle w:val="Normal"/>
              <w:widowControl/>
              <w:spacing w:lineRule="exact" w:line="240"/>
              <w:jc w:val="both"/>
              <w:rPr>
                <w:sz w:val="22"/>
                <w:u w:val="double"/>
              </w:rPr>
            </w:pPr>
            <w:r>
              <w:rPr>
                <w:sz w:val="22"/>
                <w:u w:val="double"/>
              </w:rPr>
              <w:t>General Counsel’s Office</w:t>
            </w:r>
          </w:p>
          <w:p>
            <w:pPr>
              <w:pStyle w:val="Normal"/>
              <w:widowControl/>
              <w:spacing w:lineRule="exact" w:line="240"/>
              <w:jc w:val="both"/>
              <w:rPr>
                <w:sz w:val="22"/>
                <w:u w:val="double"/>
              </w:rPr>
            </w:pPr>
            <w:r>
              <w:rPr>
                <w:sz w:val="22"/>
                <w:u w:val="double"/>
              </w:rPr>
              <w:t>222 Broadway</w:t>
            </w:r>
          </w:p>
          <w:p>
            <w:pPr>
              <w:pStyle w:val="Normal"/>
              <w:widowControl/>
              <w:spacing w:lineRule="exact" w:line="240" w:before="0" w:after="240"/>
              <w:jc w:val="both"/>
              <w:rPr>
                <w:sz w:val="22"/>
                <w:u w:val="double"/>
              </w:rPr>
            </w:pPr>
            <w:r>
              <w:rPr>
                <w:sz w:val="22"/>
                <w:u w:val="double"/>
              </w:rPr>
              <w:t>New York, N.Y.  10038</w:t>
            </w:r>
          </w:p>
          <w:p>
            <w:pPr>
              <w:pStyle w:val="Normal"/>
              <w:widowControl/>
              <w:spacing w:lineRule="exact" w:line="240"/>
              <w:jc w:val="both"/>
              <w:rPr/>
            </w:pPr>
            <w:r>
              <w:rPr>
                <w:b/>
                <w:sz w:val="22"/>
                <w:u w:val="double"/>
              </w:rPr>
              <w:t>Address for notices or communications to Party A for U.S. Dollar and Canadian Dollar Transactions</w:t>
            </w:r>
            <w:r>
              <w:rPr>
                <w:sz w:val="22"/>
                <w:u w:val="double"/>
              </w:rPr>
              <w:t>:</w:t>
            </w:r>
          </w:p>
          <w:p>
            <w:pPr>
              <w:pStyle w:val="Normal"/>
              <w:widowControl/>
              <w:spacing w:lineRule="exact" w:line="240"/>
              <w:jc w:val="both"/>
              <w:rPr>
                <w:sz w:val="22"/>
                <w:u w:val="double"/>
              </w:rPr>
            </w:pPr>
            <w:r>
              <w:rPr>
                <w:sz w:val="22"/>
                <w:u w:val="double"/>
              </w:rPr>
            </w:r>
          </w:p>
        </w:tc>
        <w:tc>
          <w:tcPr>
            <w:tcW w:w="3650" w:type="dxa"/>
            <w:tcBorders/>
          </w:tcPr>
          <w:p>
            <w:pPr>
              <w:pStyle w:val="Normal"/>
              <w:widowControl/>
              <w:snapToGrid w:val="false"/>
              <w:spacing w:lineRule="exact" w:line="240"/>
              <w:ind w:start="72" w:end="0"/>
              <w:rPr>
                <w:sz w:val="22"/>
                <w:u w:val="double"/>
              </w:rPr>
            </w:pPr>
            <w:r>
              <w:rPr>
                <w:sz w:val="22"/>
                <w:u w:val="double"/>
              </w:rPr>
            </w:r>
          </w:p>
        </w:tc>
      </w:tr>
      <w:tr>
        <w:trPr/>
        <w:tc>
          <w:tcPr>
            <w:tcW w:w="2178" w:type="dxa"/>
            <w:tcBorders/>
          </w:tcPr>
          <w:p>
            <w:pPr>
              <w:pStyle w:val="Normal"/>
              <w:widowControl/>
              <w:tabs>
                <w:tab w:val="clear" w:pos="720"/>
                <w:tab w:val="left" w:pos="2880" w:leader="none"/>
                <w:tab w:val="left" w:pos="9360" w:leader="none"/>
              </w:tabs>
              <w:snapToGrid w:val="false"/>
              <w:spacing w:lineRule="atLeast" w:line="240"/>
              <w:rPr>
                <w:sz w:val="22"/>
                <w:u w:val="double"/>
              </w:rPr>
            </w:pPr>
            <w:r>
              <w:rPr>
                <w:sz w:val="22"/>
                <w:u w:val="double"/>
              </w:rPr>
            </w:r>
          </w:p>
          <w:p>
            <w:pPr>
              <w:pStyle w:val="Normal"/>
              <w:widowControl/>
              <w:tabs>
                <w:tab w:val="left" w:pos="720" w:leader="none"/>
                <w:tab w:val="right" w:pos="9360" w:leader="dot"/>
              </w:tabs>
              <w:spacing w:lineRule="exact" w:line="240"/>
              <w:rPr>
                <w:sz w:val="22"/>
                <w:u w:val="double"/>
              </w:rPr>
            </w:pPr>
            <w:r>
              <w:rPr>
                <w:sz w:val="22"/>
                <w:u w:val="double"/>
              </w:rPr>
            </w:r>
          </w:p>
        </w:tc>
        <w:tc>
          <w:tcPr>
            <w:tcW w:w="4090" w:type="dxa"/>
            <w:tcBorders/>
          </w:tcPr>
          <w:p>
            <w:pPr>
              <w:pStyle w:val="Normal"/>
              <w:widowControl/>
              <w:spacing w:lineRule="exact" w:line="240"/>
              <w:jc w:val="both"/>
              <w:rPr>
                <w:sz w:val="22"/>
              </w:rPr>
            </w:pPr>
            <w:r>
              <w:rPr>
                <w:sz w:val="22"/>
                <w:u w:val="double"/>
              </w:rPr>
              <w:t>222 Broadway</w:t>
            </w:r>
          </w:p>
          <w:p>
            <w:pPr>
              <w:pStyle w:val="Normal"/>
              <w:widowControl/>
              <w:spacing w:lineRule="exact" w:line="240"/>
              <w:jc w:val="both"/>
              <w:rPr>
                <w:sz w:val="22"/>
              </w:rPr>
            </w:pPr>
            <w:r>
              <w:rPr>
                <w:sz w:val="22"/>
              </w:rPr>
              <w:t>New York, New York  10038</w:t>
            </w:r>
          </w:p>
          <w:p>
            <w:pPr>
              <w:pStyle w:val="Normal"/>
              <w:widowControl/>
              <w:spacing w:lineRule="exact" w:line="240"/>
              <w:jc w:val="both"/>
              <w:rPr>
                <w:sz w:val="22"/>
              </w:rPr>
            </w:pPr>
            <w:r>
              <w:rPr>
                <w:strike/>
                <w:sz w:val="22"/>
              </w:rPr>
              <w:t>Attn.: Richard Williams</w:t>
            </w:r>
            <w:r>
              <w:rPr>
                <w:sz w:val="22"/>
              </w:rPr>
              <w:t xml:space="preserve"> </w:t>
            </w:r>
            <w:r>
              <w:rPr>
                <w:sz w:val="22"/>
                <w:u w:val="double"/>
              </w:rPr>
              <w:t>Attention:  Swap Operations</w:t>
            </w:r>
          </w:p>
          <w:p>
            <w:pPr>
              <w:pStyle w:val="Normal"/>
              <w:widowControl/>
              <w:spacing w:lineRule="exact" w:line="240"/>
              <w:jc w:val="both"/>
              <w:rPr>
                <w:sz w:val="22"/>
              </w:rPr>
            </w:pPr>
            <w:r>
              <w:rPr>
                <w:sz w:val="22"/>
              </w:rPr>
            </w:r>
          </w:p>
        </w:tc>
        <w:tc>
          <w:tcPr>
            <w:tcW w:w="3650" w:type="dxa"/>
            <w:tcBorders/>
          </w:tcPr>
          <w:p>
            <w:pPr>
              <w:pStyle w:val="Normal"/>
              <w:widowControl/>
              <w:spacing w:lineRule="exact" w:line="240"/>
              <w:ind w:start="72" w:end="0"/>
              <w:rPr>
                <w:sz w:val="22"/>
              </w:rPr>
            </w:pPr>
            <w:r>
              <w:rPr>
                <w:sz w:val="22"/>
              </w:rPr>
              <w:t xml:space="preserve">Facsimile No.:  </w:t>
            </w:r>
            <w:r>
              <w:rPr>
                <w:strike/>
                <w:sz w:val="22"/>
              </w:rPr>
              <w:t>(212)</w:t>
            </w:r>
            <w:r>
              <w:rPr>
                <w:sz w:val="22"/>
              </w:rPr>
              <w:t xml:space="preserve"> </w:t>
            </w:r>
            <w:r>
              <w:rPr>
                <w:sz w:val="22"/>
                <w:u w:val="double"/>
              </w:rPr>
              <w:t>212-</w:t>
            </w:r>
            <w:r>
              <w:rPr>
                <w:sz w:val="22"/>
              </w:rPr>
              <w:t>412-</w:t>
            </w:r>
            <w:r>
              <w:rPr>
                <w:strike/>
                <w:sz w:val="22"/>
              </w:rPr>
              <w:t>7589</w:t>
            </w:r>
            <w:r>
              <w:rPr>
                <w:sz w:val="22"/>
              </w:rPr>
              <w:t xml:space="preserve"> </w:t>
            </w:r>
            <w:r>
              <w:rPr>
                <w:sz w:val="22"/>
                <w:u w:val="double"/>
              </w:rPr>
              <w:t>2677</w:t>
            </w:r>
          </w:p>
          <w:p>
            <w:pPr>
              <w:pStyle w:val="Normal"/>
              <w:widowControl/>
              <w:spacing w:lineRule="exact" w:line="240"/>
              <w:ind w:start="72" w:end="0"/>
              <w:rPr>
                <w:sz w:val="22"/>
              </w:rPr>
            </w:pPr>
            <w:r>
              <w:rPr>
                <w:sz w:val="22"/>
              </w:rPr>
              <w:t xml:space="preserve">Telephone No.: </w:t>
            </w:r>
            <w:r>
              <w:rPr>
                <w:strike/>
                <w:sz w:val="22"/>
              </w:rPr>
              <w:t>(212)</w:t>
            </w:r>
            <w:r>
              <w:rPr>
                <w:sz w:val="22"/>
              </w:rPr>
              <w:t xml:space="preserve"> </w:t>
            </w:r>
            <w:r>
              <w:rPr>
                <w:sz w:val="22"/>
                <w:u w:val="double"/>
              </w:rPr>
              <w:t>212-</w:t>
            </w:r>
            <w:r>
              <w:rPr>
                <w:sz w:val="22"/>
              </w:rPr>
              <w:t>412-</w:t>
            </w:r>
            <w:r>
              <w:rPr>
                <w:strike/>
                <w:sz w:val="22"/>
              </w:rPr>
              <w:t>7570</w:t>
            </w:r>
            <w:r>
              <w:rPr>
                <w:sz w:val="22"/>
              </w:rPr>
              <w:t xml:space="preserve"> </w:t>
            </w:r>
            <w:r>
              <w:rPr>
                <w:sz w:val="22"/>
                <w:u w:val="double"/>
              </w:rPr>
              <w:t>6910</w:t>
            </w:r>
          </w:p>
        </w:tc>
      </w:tr>
    </w:tbl>
    <w:p>
      <w:pPr>
        <w:pStyle w:val="BodyTextFirstIndent"/>
        <w:widowControl/>
        <w:rPr/>
      </w:pPr>
      <w:r>
        <w:rPr/>
        <w:t>(b)</w:t>
        <w:tab/>
      </w:r>
      <w:r>
        <w:rPr>
          <w:rStyle w:val="Bold"/>
        </w:rPr>
        <w:t>Offices; Multibranch Parties</w:t>
      </w:r>
      <w:r>
        <w:rPr/>
        <w:t>.  The provisions of Section 10(a) will be applicable.  For the purpose of Section 10(c):  Party A is not a Multibranch Party and Party B is not a Multibranch Party.</w:t>
      </w:r>
    </w:p>
    <w:p>
      <w:pPr>
        <w:pStyle w:val="BodyTextFirstIndent"/>
        <w:widowControl/>
        <w:rPr/>
      </w:pPr>
      <w:r>
        <w:rPr/>
        <w:t>(c)</w:t>
        <w:tab/>
      </w:r>
      <w:r>
        <w:rPr>
          <w:rStyle w:val="Bold"/>
        </w:rPr>
        <w:t>Calculation Agent</w:t>
      </w:r>
      <w:r>
        <w:rPr/>
        <w:t>.  The Calculation Agent is Party B.</w:t>
      </w:r>
    </w:p>
    <w:p>
      <w:pPr>
        <w:pStyle w:val="BodyTextFirstIndent"/>
        <w:widowControl/>
        <w:rPr/>
      </w:pPr>
      <w:r>
        <w:rPr/>
        <w:t>(d)</w:t>
        <w:tab/>
      </w:r>
      <w:r>
        <w:rPr>
          <w:rStyle w:val="Bold"/>
        </w:rPr>
        <w:t>Credit Support Documents</w:t>
      </w:r>
      <w:r>
        <w:rPr/>
        <w:t>.   None</w:t>
      </w:r>
    </w:p>
    <w:p>
      <w:pPr>
        <w:pStyle w:val="BodyTextFirstIndent"/>
        <w:widowControl/>
        <w:rPr/>
      </w:pPr>
      <w:r>
        <w:rPr/>
        <w:t>(e)</w:t>
        <w:tab/>
      </w:r>
      <w:r>
        <w:rPr>
          <w:rStyle w:val="Bold"/>
        </w:rPr>
        <w:t>Credit Support Provider</w:t>
      </w:r>
      <w:r>
        <w:rPr/>
        <w:t>.  (i) Credit Support Provider means in relation to Party A, none, and (ii) Credit Support Provider means in relation to Party B, none.</w:t>
      </w:r>
    </w:p>
    <w:p>
      <w:pPr>
        <w:pStyle w:val="BodyTextFirstIndent"/>
        <w:widowControl/>
        <w:rPr/>
      </w:pPr>
      <w:r>
        <w:rPr/>
        <w:t>(f)</w:t>
        <w:tab/>
      </w:r>
      <w:r>
        <w:rPr>
          <w:rStyle w:val="Bold"/>
        </w:rPr>
        <w:t>Netting of Payments</w:t>
      </w:r>
      <w:r>
        <w:rPr/>
        <w:t>.  Section 2(c)(ii) will not apply to all Transactions.</w:t>
      </w:r>
    </w:p>
    <w:p>
      <w:pPr>
        <w:pStyle w:val="BodyTextFirstIndent"/>
        <w:widowControl/>
        <w:rPr>
          <w:b/>
        </w:rPr>
      </w:pPr>
      <w:r>
        <w:rPr/>
        <w:t>(g)</w:t>
        <w:tab/>
      </w:r>
      <w:r>
        <w:rPr>
          <w:rStyle w:val="Bold"/>
        </w:rPr>
        <w:t xml:space="preserve">Governing Law.  </w:t>
      </w:r>
      <w:r>
        <w:rPr>
          <w:rStyle w:val="Bold"/>
          <w:b w:val="false"/>
        </w:rPr>
        <w:t>This Agreement and each Confirmation will be governed by, and construed, interpreted, and enforced in accordance with, the substantive law of the State of New York (without reference to its choice of law doctrine other than Section 5-1401 of the New York General Obligations Law).</w:t>
      </w:r>
    </w:p>
    <w:p>
      <w:pPr>
        <w:pStyle w:val="BodyTextFirstIndent"/>
        <w:widowControl/>
        <w:rPr/>
      </w:pPr>
      <w:r>
        <w:rPr/>
        <w:t>(h)</w:t>
        <w:tab/>
      </w:r>
      <w:r>
        <w:rPr>
          <w:rStyle w:val="Bold"/>
        </w:rPr>
        <w:t>Jurisdiction</w:t>
      </w:r>
      <w:r>
        <w:rPr/>
        <w:t>.  Section 13(b)</w:t>
      </w:r>
      <w:r>
        <w:rPr>
          <w:u w:val="double"/>
        </w:rPr>
        <w:t>(ii)</w:t>
      </w:r>
      <w:r>
        <w:rPr/>
        <w:t xml:space="preserve"> is hereby deleted in its entirety </w:t>
      </w:r>
      <w:r>
        <w:rPr>
          <w:strike/>
        </w:rPr>
        <w:t>and replaced with the following:</w:t>
      </w:r>
    </w:p>
    <w:p>
      <w:pPr>
        <w:pStyle w:val="BodyTextFirstIndent"/>
        <w:widowControl/>
        <w:rPr>
          <w:strike/>
        </w:rPr>
      </w:pPr>
      <w:r>
        <w:rPr>
          <w:strike/>
        </w:rPr>
        <w:t>(b) Agreement To Arbitrate: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BodyTextFirstIndent"/>
        <w:widowControl/>
        <w:rPr>
          <w:strike/>
        </w:rPr>
      </w:pPr>
      <w:r>
        <w:rPr>
          <w:strike/>
        </w:rPr>
        <w:t>Conduct Of The Arbitration, And Authority Of The Arbitrators: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BodyTextFirstIndent"/>
        <w:widowControl/>
        <w:rPr>
          <w:strike/>
        </w:rPr>
      </w:pPr>
      <w:r>
        <w:rPr>
          <w:strike/>
        </w:rPr>
        <w:t>Forum For The Arbitration And Selection Of Arbitrators: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BodyTextFirstIndent"/>
        <w:widowControl/>
        <w:rPr/>
      </w:pPr>
      <w:r>
        <w:rPr>
          <w:strike/>
        </w:rPr>
        <w:t>Confidentiality: To the fullest extent permitted by law, any arbitration proceeding and the arbitrators award shall be maintained in confidence by the parties</w:t>
      </w:r>
      <w:r>
        <w:rPr/>
        <w:t>.</w:t>
      </w:r>
    </w:p>
    <w:p>
      <w:pPr>
        <w:pStyle w:val="BodyText"/>
        <w:rPr/>
      </w:pPr>
      <w:r>
        <w:rPr>
          <w:rStyle w:val="Bold"/>
        </w:rPr>
        <w:t>Part 5.  Other Provisions.</w:t>
      </w:r>
    </w:p>
    <w:p>
      <w:pPr>
        <w:pStyle w:val="BodyTextFirstIndent"/>
        <w:widowControl/>
        <w:rPr/>
      </w:pPr>
      <w:r>
        <w:rPr/>
        <w:t>(a)</w:t>
        <w:tab/>
      </w:r>
      <w:r>
        <w:rPr>
          <w:rStyle w:val="Bold"/>
        </w:rPr>
        <w:t>Representations</w:t>
      </w:r>
      <w:r>
        <w:rPr/>
        <w:t>.  Section 3 is hereby amended by adding at the end thereof the following Subsections (g), (h), (i), and (j):</w:t>
      </w:r>
    </w:p>
    <w:p>
      <w:pPr>
        <w:pStyle w:val="BodyTextIndent2"/>
        <w:tabs>
          <w:tab w:val="clear" w:pos="1350"/>
        </w:tabs>
        <w:rPr/>
      </w:pPr>
      <w:r>
        <w:rPr>
          <w:strike/>
        </w:rPr>
        <w:t>(g)</w:t>
      </w:r>
      <w:r>
        <w:rPr>
          <w:u w:val="double"/>
        </w:rPr>
        <w:t>“(g)</w:t>
      </w:r>
      <w:r>
        <w:rPr/>
        <w:tab/>
      </w:r>
      <w:r>
        <w:rPr>
          <w:rStyle w:val="Bold"/>
        </w:rPr>
        <w:t>Line of Business</w:t>
      </w:r>
      <w:r>
        <w:rPr/>
        <w:t>.  It is entering into this Agreement and each Transaction, in conjunction with its line of business (including, in the case of Party B, financial intermediation services) or the financing of its business.</w:t>
      </w:r>
    </w:p>
    <w:p>
      <w:pPr>
        <w:pStyle w:val="BodyTextIndent2"/>
        <w:tabs>
          <w:tab w:val="clear" w:pos="1350"/>
        </w:tabs>
        <w:rPr/>
      </w:pPr>
      <w:r>
        <w:rPr/>
        <w:t>(h)</w:t>
        <w:tab/>
      </w:r>
      <w:r>
        <w:rPr>
          <w:rStyle w:val="Bold"/>
        </w:rPr>
        <w:t>Eligible Swap Participant</w:t>
      </w:r>
      <w:r>
        <w:rPr/>
        <w:t>.  It constitutes an “eligible swap participant” as such term is defined in Rule 35.1(b)(2) of the Commodity Futures Trading Commission, 17 C.F.R. § 35.1(b)(2) (1993).</w:t>
      </w:r>
    </w:p>
    <w:p>
      <w:pPr>
        <w:pStyle w:val="BodyTextIndent2"/>
        <w:tabs>
          <w:tab w:val="clear" w:pos="1350"/>
        </w:tabs>
        <w:rPr/>
      </w:pPr>
      <w:r>
        <w:rPr/>
        <w:t>(i)</w:t>
        <w:tab/>
      </w:r>
      <w:r>
        <w:rPr>
          <w:rStyle w:val="Bold"/>
        </w:rPr>
        <w:t>Customization and Creditworthiness</w:t>
      </w:r>
      <w:r>
        <w:rPr/>
        <w:t>.  The economic terms of this Agreement and each Transaction have been individually tailored and negotiated by it; the creditworthiness of the other party was a material consideration in its entering into or determining the terms of this Agreement and such Transaction.</w:t>
      </w:r>
    </w:p>
    <w:p>
      <w:pPr>
        <w:pStyle w:val="BodyTextIndent2"/>
        <w:tabs>
          <w:tab w:val="clear" w:pos="1350"/>
        </w:tabs>
        <w:rPr/>
      </w:pPr>
      <w:r>
        <w:rPr/>
        <w:t>(j)</w:t>
        <w:tab/>
      </w:r>
      <w:r>
        <w:rPr>
          <w:rStyle w:val="Bold"/>
        </w:rPr>
        <w:t>No Reliance</w:t>
      </w:r>
      <w:r>
        <w:rPr/>
        <w:t xml:space="preserve">.  In connection with this Agreement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and such Transaction with a full understanding of all of the risks hereof and thereof (economic and otherwise), and it is capable of assuming and willing to assume those </w:t>
      </w:r>
      <w:r>
        <w:rPr>
          <w:strike/>
        </w:rPr>
        <w:t>risks.</w:t>
      </w:r>
      <w:r>
        <w:rPr/>
        <w:t xml:space="preserve"> </w:t>
      </w:r>
      <w:r>
        <w:rPr>
          <w:u w:val="double"/>
        </w:rPr>
        <w:t>risks.”</w:t>
      </w:r>
    </w:p>
    <w:p>
      <w:pPr>
        <w:pStyle w:val="BodyTextFirstIndent"/>
        <w:widowControl/>
        <w:rPr/>
      </w:pPr>
      <w:r>
        <w:rPr/>
        <w:t>(b)</w:t>
        <w:tab/>
      </w:r>
      <w:r>
        <w:rPr>
          <w:rStyle w:val="Bold"/>
        </w:rPr>
        <w:t>Definitions</w:t>
      </w:r>
      <w:r>
        <w:rPr/>
        <w:t>.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BodyTextFirstIndent"/>
        <w:widowControl/>
        <w:rPr/>
      </w:pPr>
      <w:r>
        <w:rPr/>
        <w:t>(c)</w:t>
        <w:tab/>
      </w:r>
      <w:r>
        <w:rPr>
          <w:rStyle w:val="Bold"/>
        </w:rPr>
        <w:t>Recording</w:t>
      </w:r>
      <w:r>
        <w:rPr/>
        <w:t>.  Each party consents to the recording, at any time and from time to time, by the other party of any and all communications between officers or employees of the parties, and waives any further notice of such recording.</w:t>
      </w:r>
    </w:p>
    <w:p>
      <w:pPr>
        <w:pStyle w:val="BodyTextFirstIndent"/>
        <w:widowControl/>
        <w:rPr/>
      </w:pPr>
      <w:r>
        <w:rPr/>
        <w:t>(d)</w:t>
        <w:tab/>
      </w:r>
      <w:r>
        <w:rPr>
          <w:rStyle w:val="Bold"/>
        </w:rPr>
        <w:t>Setoff</w:t>
      </w:r>
      <w:r>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FirstIndent"/>
        <w:widowControl/>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BodyTextFirstIndent"/>
        <w:widowControl/>
        <w:rPr/>
      </w:pPr>
      <w:r>
        <w:rPr>
          <w:rStyle w:val="Bold"/>
        </w:rPr>
        <w:t>(e)</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w:t>
      </w:r>
      <w:r>
        <w:rPr>
          <w:rStyle w:val="Bold"/>
          <w:u w:val="double"/>
        </w:rPr>
        <w:t>BY A COURT OF COMPETENT JURISDICTION</w:t>
      </w:r>
      <w:r>
        <w:rPr>
          <w:rStyle w:val="Bold"/>
        </w:rPr>
        <w:t>, THE PARTIES ACKNOWLEDGE AND AGREE THAT SUCH DAMAGES ARE DIFFICULT OR IMPOSSIBLE TO DETERMINE AND THAT SUCH PAYMENT IS INTENDED TO BE A REASONABLE AND GENUINE PRE-ESTIMATE AND APPROXIMATION OF THE AMOUNT OF SUCH DAMAGES AND NOT A PENALTY.</w:t>
      </w:r>
    </w:p>
    <w:p>
      <w:pPr>
        <w:pStyle w:val="BodyTextFirstIndent"/>
        <w:widowControl/>
        <w:rPr/>
      </w:pPr>
      <w:r>
        <w:rPr/>
        <w:t>(f)</w:t>
        <w:tab/>
      </w:r>
      <w:r>
        <w:rPr>
          <w:rStyle w:val="Bold"/>
        </w:rPr>
        <w:t>Confidentiality</w:t>
      </w:r>
      <w:r>
        <w:rPr/>
        <w:t>.  The contents of this Agreement and all other documents relating to this Agreement, and any information made available by one party to the other party with respect to this Agreement shall be subject to the terms and conditions of Section 12.08 of the Credit Agreement.</w:t>
      </w:r>
    </w:p>
    <w:p>
      <w:pPr>
        <w:pStyle w:val="BodyTextFirstIndent"/>
        <w:widowControl/>
        <w:rPr/>
      </w:pPr>
      <w:r>
        <w:rPr/>
        <w:t>(g)</w:t>
        <w:tab/>
      </w:r>
      <w:r>
        <w:rPr>
          <w:b/>
          <w:u w:val="double"/>
        </w:rPr>
        <w:t>Applicable Rate.</w:t>
      </w:r>
      <w:r>
        <w:rPr/>
        <w:t xml:space="preserve">  </w:t>
      </w:r>
      <w:r>
        <w:rPr>
          <w:u w:val="double"/>
        </w:rPr>
        <w:t xml:space="preserve">The definition of </w:t>
      </w:r>
      <w:r>
        <w:rPr>
          <w:b/>
          <w:u w:val="double"/>
        </w:rPr>
        <w:t>“Applicable Rate”</w:t>
      </w:r>
      <w:r>
        <w:rPr/>
        <w:t xml:space="preserve"> </w:t>
      </w:r>
      <w:r>
        <w:rPr>
          <w:u w:val="double"/>
        </w:rPr>
        <w:t>set forth in Section 14 is hereby amended by adding to the end of Subsection (b) of the definition after the word “Rate” the following provision:  “; provided, however, that if the payee is a Defaulting Party for purposes of Section 6(e), then the rate shall be the Non-default Rate.”</w:t>
      </w:r>
    </w:p>
    <w:p>
      <w:pPr>
        <w:pStyle w:val="BodyTextFirstIndent"/>
        <w:widowControl/>
        <w:rPr/>
      </w:pPr>
      <w:r>
        <w:rPr>
          <w:u w:val="double"/>
        </w:rPr>
        <w:t>(h)</w:t>
      </w:r>
      <w:r>
        <w:rPr/>
        <w:tab/>
      </w:r>
      <w:r>
        <w:rPr>
          <w:rStyle w:val="Bold"/>
        </w:rPr>
        <w:t>Severability</w:t>
      </w:r>
      <w:r>
        <w:rPr/>
        <w:t>.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BodyTextFirstIndent"/>
        <w:widowControl/>
        <w:rPr/>
      </w:pPr>
      <w:r>
        <w:rPr>
          <w:strike/>
        </w:rPr>
        <w:t>(h)</w:t>
      </w:r>
      <w:r>
        <w:rPr>
          <w:u w:val="double"/>
        </w:rPr>
        <w:t>(i)</w:t>
      </w:r>
      <w:r>
        <w:rPr/>
        <w:tab/>
      </w:r>
      <w:r>
        <w:rPr>
          <w:rStyle w:val="Bold"/>
        </w:rPr>
        <w:t>European Monetary Union</w:t>
      </w:r>
      <w:r>
        <w:rPr/>
        <w:t>.  The provisions of Annexes 1 to 5 (inclusive) of the EMU Protocol, published by ISDA on May 6, 1998, are hereby incorporated in this Agreement.</w:t>
      </w:r>
    </w:p>
    <w:p>
      <w:pPr>
        <w:pStyle w:val="BodyTextFirstIndent"/>
        <w:widowControl/>
        <w:rPr/>
      </w:pPr>
      <w:r>
        <w:rPr>
          <w:strike/>
        </w:rPr>
        <w:t>(i)</w:t>
      </w:r>
      <w:r>
        <w:rPr>
          <w:u w:val="double"/>
        </w:rPr>
        <w:t>(j)</w:t>
      </w:r>
      <w:r>
        <w:rPr/>
        <w:tab/>
      </w:r>
      <w:r>
        <w:rPr>
          <w:rStyle w:val="Bold"/>
        </w:rPr>
        <w:t>Amendment to Section 5(a)(iv).</w:t>
      </w:r>
      <w:r>
        <w:rPr/>
        <w:t xml:space="preserve">  Section 5(a)(iv) of this Agreement shall be amended by adding the following words at the end of said Section:  “and such condition or circumstance would reasonably be expected to have a Material Adverse Effect (as defined in the Credit Agreement).”</w:t>
      </w:r>
    </w:p>
    <w:p>
      <w:pPr>
        <w:pStyle w:val="BodyTextFirstIndent"/>
        <w:widowControl/>
        <w:rPr/>
      </w:pPr>
      <w:r>
        <w:rPr>
          <w:strike/>
        </w:rPr>
        <w:t>(j)</w:t>
      </w:r>
      <w:r>
        <w:rPr>
          <w:u w:val="double"/>
        </w:rPr>
        <w:t>(k)</w:t>
      </w:r>
      <w:r>
        <w:rPr/>
        <w:tab/>
      </w:r>
      <w:r>
        <w:rPr>
          <w:rStyle w:val="Bold"/>
        </w:rPr>
        <w:t>Amendment to Section 5(a)(vii).</w:t>
      </w:r>
      <w:r>
        <w:rPr/>
        <w:t xml:space="preserve">  Section 5(a) (vii) of this Agreement shall be amended by deleting each reference to the number “30” in said Section and inserting the number “60” in lieu thereof.</w:t>
      </w:r>
    </w:p>
    <w:p>
      <w:pPr>
        <w:pStyle w:val="BodyTextFirstIndent"/>
        <w:widowControl/>
        <w:rPr/>
      </w:pPr>
      <w:r>
        <w:rPr>
          <w:u w:val="double"/>
        </w:rPr>
        <w:t>(l)</w:t>
      </w:r>
      <w:r>
        <w:rPr/>
        <w:tab/>
      </w:r>
      <w:r>
        <w:rPr>
          <w:b/>
          <w:u w:val="double"/>
        </w:rPr>
        <w:t>Confirmations</w:t>
      </w:r>
      <w:r>
        <w:rPr>
          <w:u w:val="double"/>
        </w:rPr>
        <w:t>.  For each Transaction Party A and Party B agree to enter into under this Agreement, Party B shall promptly send to Party A a Confirmation setting forth the terms of such Transaction.  Party A shall execute and return the Confirmation to Party B, or request correction in writing of any error, within seven Business Days of receipt.</w:t>
      </w:r>
    </w:p>
    <w:p>
      <w:pPr>
        <w:pStyle w:val="BodyTextFirstIndent"/>
        <w:widowControl/>
        <w:rPr/>
      </w:pPr>
      <w:r>
        <w:rPr>
          <w:u w:val="double"/>
        </w:rPr>
        <w:t>(m)</w:t>
      </w:r>
      <w:r>
        <w:rPr/>
        <w:tab/>
      </w:r>
      <w:r>
        <w:rPr>
          <w:b/>
          <w:u w:val="double"/>
        </w:rPr>
        <w:t>Transactions Governed by BBAIRS Terms</w:t>
      </w:r>
      <w:r>
        <w:rPr>
          <w:u w:val="double"/>
        </w:rPr>
        <w:t>.  Any interest rate or currency swap transaction into which the parties have entered and in respect of which the confirmation or other confirming evidence refers to or incorporates the British Bankers’ Association London Interbank Interest Rate Swaps Recommended Terms and Conditions (1985 edition) (“BBAIRS Terms”) will be governed by this Agreement.  Any interest rate or currency swap transaction into which the parties may enter and in respect of which the confirmation or other confirming evidence refers to or incorporates the BBAIRS Terms will be governed by this Agreement in all circumstances except when the parties expressly agree that this provision will not apply.  Each such transaction will be deemed to be a Transaction and each such confirmation or other confirming evidence will be deemed to constitute a Confirmation for purposes of this Agreement.  Section D (except Section D.5), E (except Section E.5) and F (except Section F.5) of the BBAIRS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BBAIRS Terms and this Agreement, this Agreement will govern, notwithstanding anything to the contrary in Section 1(b) of this Agreement.  Section G of the BBAIRS Terms is not applicable to any transaction to which this provision relates.</w:t>
      </w:r>
    </w:p>
    <w:p>
      <w:pPr>
        <w:pStyle w:val="BodyTextFirstIndent"/>
        <w:widowControl/>
        <w:rPr/>
      </w:pPr>
      <w:r>
        <w:rPr>
          <w:u w:val="double"/>
        </w:rPr>
        <w:t xml:space="preserve"> </w:t>
      </w:r>
      <w:r>
        <w:rPr>
          <w:u w:val="double"/>
        </w:rPr>
        <w:t>(n)</w:t>
      </w:r>
      <w:r>
        <w:rPr/>
        <w:tab/>
      </w:r>
      <w:r>
        <w:rPr>
          <w:b/>
          <w:u w:val="double"/>
        </w:rPr>
        <w:t>Transactions Governed by FRABBA Terms</w:t>
      </w:r>
      <w:r>
        <w:rPr>
          <w:u w:val="double"/>
        </w:rPr>
        <w:t>.  Any forward rate agreement into which the parties have entered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may enter and in respect of which the confirmation or other confirming evidence refers to or incorporates the FRABBA Terms will be governed by this Agreement in all circumstances except when the parties expressly agree that this provision will not apply.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notwithstanding anything to the contrary in Section 1(b) of this Agreement.  Clauses 2, 3, 7, 8, 9 and 10 of Section D of the FRABBA Terms are not applicable to any transaction to which this provision relates.</w:t>
      </w:r>
    </w:p>
    <w:p>
      <w:pPr>
        <w:pStyle w:val="BodyTextFirstIndent"/>
        <w:widowControl/>
        <w:rPr/>
      </w:pPr>
      <w:r>
        <w:rPr>
          <w:u w:val="double"/>
        </w:rPr>
        <w:t>(o)</w:t>
      </w:r>
      <w:r>
        <w:rPr/>
        <w:tab/>
      </w:r>
      <w:r>
        <w:rPr>
          <w:b/>
          <w:u w:val="double"/>
        </w:rPr>
        <w:t>Escrow.</w:t>
      </w:r>
      <w:r>
        <w:rPr/>
        <w:t xml:space="preserve">  </w:t>
      </w:r>
      <w:r>
        <w:rPr>
          <w:u w:val="double"/>
        </w:rPr>
        <w:t>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BodyTextFirstIndent"/>
        <w:widowControl/>
        <w:rPr/>
      </w:pPr>
      <w:r>
        <w:rPr>
          <w:u w:val="double"/>
        </w:rPr>
        <w:t>(p)</w:t>
      </w:r>
      <w:r>
        <w:rPr/>
        <w:tab/>
      </w:r>
      <w:r>
        <w:rPr>
          <w:b/>
          <w:u w:val="double"/>
        </w:rPr>
        <w:t>Pari Passu</w:t>
      </w:r>
      <w:r>
        <w:rPr>
          <w:u w:val="double"/>
        </w:rPr>
        <w:t>.  Each of the parties to this agreement hereby warrant and covenant to the other party that any and all obligations to the other party, arising under this ISDA Master Agreement, shall rank Pari Passu with all other senior unsecured indebtedness of such party from time to time outstanding, including any and all outstanding indebtedness under the Credit Agreement.</w:t>
      </w:r>
    </w:p>
    <w:p>
      <w:pPr>
        <w:pStyle w:val="BodyTextFirstIndent"/>
        <w:widowControl/>
        <w:rPr/>
      </w:pPr>
      <w:r>
        <w:rPr>
          <w:u w:val="double"/>
        </w:rPr>
        <w:t>(q)</w:t>
      </w:r>
      <w:r>
        <w:rPr/>
        <w:tab/>
      </w:r>
      <w:r>
        <w:rPr>
          <w:b/>
          <w:u w:val="double"/>
        </w:rPr>
        <w:t>Modified Representation</w:t>
      </w:r>
      <w:r>
        <w:rPr>
          <w:u w:val="double"/>
        </w:rPr>
        <w:t>.  For purposes of Section 3(d) of this Agreement, the following shall be added, immediately prior to the period at the end thereof:</w:t>
      </w:r>
    </w:p>
    <w:p>
      <w:pPr>
        <w:pStyle w:val="BodyTextFirstIndent"/>
        <w:widowControl/>
        <w:rPr>
          <w:u w:val="double"/>
        </w:rPr>
      </w:pPr>
      <w:r>
        <w:rPr>
          <w:u w:val="double"/>
        </w:rPr>
        <w:t>“</w:t>
      </w:r>
      <w:r>
        <w:rPr>
          <w:u w:val="double"/>
        </w:rPr>
        <w:t>; provided that, in the case of financial statements delivered by Party B, such financial statements give a fair view of the state of affairs of the relevant entity to which they relate as at the date of such financial statements, and in the case of financial statements delivered by Party A, such financial statements fairly present the financial position of the relevant entity to which they relate as at the date of such financial statements”.</w:t>
      </w:r>
    </w:p>
    <w:p>
      <w:pPr>
        <w:pStyle w:val="BodyText"/>
        <w:rPr/>
      </w:pPr>
      <w:r>
        <w:rPr/>
        <w:t>EXECUTED effective as of the date first written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spacing w:before="0" w:after="240"/>
              <w:rPr/>
            </w:pPr>
            <w:r>
              <w:rPr>
                <w:b/>
                <w:sz w:val="22"/>
              </w:rPr>
              <w:t>LOST CREEK GATHERING COMPANY, L.L.C.,</w:t>
            </w:r>
            <w:r>
              <w:rPr>
                <w:sz w:val="22"/>
              </w:rPr>
              <w:t xml:space="preserve"> a Delaware limited liability company</w:t>
            </w:r>
          </w:p>
          <w:p>
            <w:pPr>
              <w:pStyle w:val="Normal"/>
              <w:widowControl/>
              <w:rPr>
                <w:color w:val="000000"/>
                <w:sz w:val="22"/>
              </w:rPr>
            </w:pPr>
            <w:r>
              <w:rPr>
                <w:color w:val="000000"/>
                <w:sz w:val="22"/>
              </w:rPr>
              <w:t>By:</w:t>
              <w:tab/>
              <w:t>Burlington Resources Trading Inc., its</w:t>
              <w:tab/>
              <w:t>Managing Member</w:t>
            </w:r>
          </w:p>
          <w:p>
            <w:pPr>
              <w:pStyle w:val="Normal"/>
              <w:widowControl/>
              <w:rPr>
                <w:color w:val="000000"/>
                <w:sz w:val="22"/>
              </w:rPr>
            </w:pPr>
            <w:r>
              <w:rPr>
                <w:color w:val="000000"/>
                <w:sz w:val="22"/>
              </w:rPr>
            </w:r>
          </w:p>
          <w:p>
            <w:pPr>
              <w:pStyle w:val="Normal"/>
              <w:widowControl/>
              <w:rPr/>
            </w:pPr>
            <w:r>
              <w:rPr/>
            </w:r>
          </w:p>
          <w:p>
            <w:pPr>
              <w:pStyle w:val="Normal"/>
              <w:widowControl/>
              <w:spacing w:lineRule="exact" w:line="240"/>
              <w:jc w:val="both"/>
              <w:rPr/>
            </w:pPr>
            <w:r>
              <w:rPr>
                <w:sz w:val="22"/>
              </w:rPr>
              <w:tab/>
              <w:t>By:</w:t>
              <w:tab/>
            </w:r>
            <w:r>
              <w:rPr>
                <w:sz w:val="22"/>
                <w:u w:val="single"/>
              </w:rPr>
              <w:tab/>
              <w:tab/>
              <w:tab/>
              <w:tab/>
            </w:r>
          </w:p>
          <w:p>
            <w:pPr>
              <w:pStyle w:val="Normal"/>
              <w:widowControl/>
              <w:spacing w:lineRule="exact" w:line="240"/>
              <w:jc w:val="both"/>
              <w:rPr>
                <w:sz w:val="22"/>
              </w:rPr>
            </w:pPr>
            <w:r>
              <w:rPr>
                <w:sz w:val="22"/>
              </w:rPr>
              <w:tab/>
              <w:t>Name:</w:t>
              <w:tab/>
            </w:r>
            <w:r>
              <w:rPr>
                <w:sz w:val="22"/>
                <w:u w:val="single"/>
              </w:rPr>
              <w:tab/>
              <w:tab/>
              <w:tab/>
              <w:tab/>
            </w:r>
          </w:p>
          <w:p>
            <w:pPr>
              <w:pStyle w:val="Normal"/>
              <w:widowControl/>
              <w:spacing w:lineRule="exact" w:line="240"/>
              <w:jc w:val="both"/>
              <w:rPr>
                <w:sz w:val="22"/>
              </w:rPr>
            </w:pPr>
            <w:r>
              <w:rPr>
                <w:sz w:val="22"/>
              </w:rPr>
              <w:tab/>
              <w:t>Title:</w:t>
              <w:tab/>
            </w:r>
            <w:r>
              <w:rPr>
                <w:sz w:val="22"/>
                <w:u w:val="single"/>
              </w:rPr>
              <w:tab/>
              <w:tab/>
              <w:tab/>
              <w:tab/>
            </w:r>
          </w:p>
          <w:p>
            <w:pPr>
              <w:pStyle w:val="Normal"/>
              <w:widowControl/>
              <w:spacing w:lineRule="exact" w:line="240"/>
              <w:jc w:val="both"/>
              <w:rPr>
                <w:sz w:val="22"/>
              </w:rPr>
            </w:pPr>
            <w:r>
              <w:rPr>
                <w:sz w:val="22"/>
              </w:rPr>
              <w:tab/>
              <w:t>Date:</w:t>
              <w:tab/>
            </w:r>
            <w:r>
              <w:rPr>
                <w:sz w:val="22"/>
                <w:u w:val="single"/>
              </w:rPr>
              <w:tab/>
              <w:tab/>
              <w:tab/>
            </w:r>
          </w:p>
        </w:tc>
        <w:tc>
          <w:tcPr>
            <w:tcW w:w="4788" w:type="dxa"/>
            <w:tcBorders/>
          </w:tcPr>
          <w:p>
            <w:pPr>
              <w:pStyle w:val="Heading4"/>
              <w:keepNext w:val="false"/>
              <w:widowControl/>
              <w:ind w:hanging="0" w:start="0"/>
              <w:rPr/>
            </w:pPr>
            <w:r>
              <w:rPr/>
              <w:t>BARCLAYS BANK PLC</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spacing w:lineRule="exact" w:line="240"/>
              <w:jc w:val="both"/>
              <w:rPr/>
            </w:pPr>
            <w:r>
              <w:rPr>
                <w:sz w:val="22"/>
              </w:rPr>
              <w:t>By:</w:t>
              <w:tab/>
            </w:r>
            <w:r>
              <w:rPr>
                <w:sz w:val="22"/>
                <w:u w:val="single"/>
              </w:rPr>
              <w:tab/>
              <w:tab/>
              <w:tab/>
              <w:tab/>
              <w:tab/>
            </w:r>
          </w:p>
          <w:p>
            <w:pPr>
              <w:pStyle w:val="Normal"/>
              <w:widowControl/>
              <w:spacing w:lineRule="exact" w:line="240"/>
              <w:jc w:val="both"/>
              <w:rPr>
                <w:sz w:val="22"/>
              </w:rPr>
            </w:pPr>
            <w:r>
              <w:rPr>
                <w:sz w:val="22"/>
              </w:rPr>
              <w:t>Name:</w:t>
              <w:tab/>
            </w:r>
            <w:r>
              <w:rPr>
                <w:sz w:val="22"/>
                <w:u w:val="single"/>
              </w:rPr>
              <w:tab/>
              <w:tab/>
              <w:tab/>
              <w:tab/>
              <w:tab/>
            </w:r>
          </w:p>
          <w:p>
            <w:pPr>
              <w:pStyle w:val="Normal"/>
              <w:widowControl/>
              <w:spacing w:lineRule="exact" w:line="240"/>
              <w:jc w:val="both"/>
              <w:rPr/>
            </w:pPr>
            <w:r>
              <w:rPr>
                <w:sz w:val="22"/>
              </w:rPr>
              <w:t>Title:</w:t>
              <w:tab/>
            </w:r>
            <w:r>
              <w:rPr>
                <w:sz w:val="22"/>
                <w:u w:val="single"/>
              </w:rPr>
              <w:tab/>
              <w:tab/>
              <w:tab/>
              <w:tab/>
              <w:tab/>
            </w:r>
          </w:p>
          <w:p>
            <w:pPr>
              <w:pStyle w:val="Normal"/>
              <w:widowControl/>
              <w:spacing w:lineRule="exact" w:line="240"/>
              <w:jc w:val="both"/>
              <w:rPr>
                <w:sz w:val="22"/>
              </w:rPr>
            </w:pPr>
            <w:r>
              <w:rPr>
                <w:sz w:val="22"/>
              </w:rPr>
              <w:t>Date:</w:t>
              <w:tab/>
            </w:r>
            <w:r>
              <w:rPr>
                <w:sz w:val="22"/>
                <w:u w:val="single"/>
              </w:rPr>
              <w:tab/>
              <w:tab/>
              <w:tab/>
              <w:tab/>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557924-</w:t>
      </w:r>
      <w:r>
        <w:rPr>
          <w:strike/>
        </w:rPr>
        <w:t>1</w:t>
      </w:r>
      <w:r>
        <w:rPr/>
        <w:t xml:space="preserve"> 2 </w:t>
      </w:r>
      <w:r>
        <w:rPr>
          <w:u w:val="double"/>
        </w:rPr>
        <w:t>4</w:t>
      </w:r>
    </w:p>
    <w:p>
      <w:pPr>
        <w:pStyle w:val="Normal"/>
        <w:widowControl/>
        <w:rPr/>
      </w:pPr>
      <w:r>
        <w:rPr/>
      </w:r>
    </w:p>
    <w:p>
      <w:pPr>
        <w:pStyle w:val="Normal"/>
        <w:widowControl/>
        <w:rPr/>
      </w:pPr>
      <w:r>
        <w:rPr/>
        <w:t>-FOOTER 2-</w:t>
      </w:r>
    </w:p>
    <w:p>
      <w:pPr>
        <w:pStyle w:val="Normal"/>
        <w:widowControl/>
        <w:rPr/>
      </w:pPr>
      <w:r>
        <w:rPr/>
        <w:t>557924-</w:t>
      </w:r>
      <w:r>
        <w:rPr>
          <w:strike/>
        </w:rPr>
        <w:t>1</w:t>
      </w:r>
      <w:r>
        <w:rPr/>
        <w:t xml:space="preserve"> </w:t>
      </w:r>
      <w:r>
        <w:rPr>
          <w:u w:val="double"/>
        </w:rPr>
        <w:t>2</w:t>
      </w:r>
    </w:p>
    <w:p>
      <w:pPr>
        <w:pStyle w:val="Normal"/>
        <w:widowControl/>
        <w:rPr/>
      </w:pPr>
      <w:r>
        <w:rPr/>
        <w:t>S</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C:\WINDOWS\TEMP\HOU_557924_1</w:t>
      </w:r>
    </w:p>
    <w:p>
      <w:pPr>
        <w:pStyle w:val="Normal"/>
        <w:widowControl/>
        <w:rPr/>
      </w:pPr>
      <w:r>
        <w:rPr/>
        <w:t>and revised document: C:\WINDOWS\TEMP\HOU_557924.2</w:t>
      </w:r>
    </w:p>
    <w:p>
      <w:pPr>
        <w:pStyle w:val="Normal"/>
        <w:widowControl/>
        <w:rPr/>
      </w:pPr>
      <w:r>
        <w:rPr/>
      </w:r>
    </w:p>
    <w:p>
      <w:pPr>
        <w:pStyle w:val="Normal"/>
        <w:widowControl/>
        <w:rPr/>
      </w:pPr>
      <w:r>
        <w:rPr/>
        <w:t>CompareRite found   29 change(s) in the text</w:t>
      </w:r>
    </w:p>
    <w:p>
      <w:pPr>
        <w:pStyle w:val="Normal"/>
        <w:widowControl/>
        <w:rPr/>
      </w:pPr>
      <w:r>
        <w:rPr/>
        <w:t>CompareRite found    3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576208-1</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576208-1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jc w:val="both"/>
      <w:outlineLvl w:val="3"/>
    </w:pPr>
    <w:rPr>
      <w:b/>
      <w:sz w:val="22"/>
    </w:rPr>
  </w:style>
  <w:style w:type="paragraph" w:styleId="Heading5">
    <w:name w:val="heading 5"/>
    <w:basedOn w:val="Normal"/>
    <w:next w:val="Normal"/>
    <w:qFormat/>
    <w:pPr>
      <w:keepNext w:val="true"/>
      <w:numPr>
        <w:ilvl w:val="4"/>
        <w:numId w:val="1"/>
      </w:numPr>
      <w:spacing w:lineRule="atLeast" w:line="240" w:before="240" w:after="0"/>
      <w:outlineLvl w:val="4"/>
    </w:pPr>
    <w:rPr>
      <w:b/>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sz w:val="20"/>
    </w:rPr>
  </w:style>
  <w:style w:type="character" w:styleId="PageNumber">
    <w:name w:val="page number"/>
    <w:basedOn w:val="DefaultParagraphFont"/>
    <w:rPr>
      <w:sz w:val="22"/>
    </w:rPr>
  </w:style>
  <w:style w:type="character" w:styleId="Bold">
    <w:name w:val="Bold"/>
    <w:basedOn w:val="DefaultParagraphFont"/>
    <w:qFormat/>
    <w:rPr>
      <w:rFonts w:ascii="Times New Roman Bold;Times New Roman" w:hAnsi="Times New Roman Bold;Times New Roman" w:cs="Times New Roman Bold;Times New Roman"/>
      <w:b/>
      <w:sz w:val="22"/>
    </w:rPr>
  </w:style>
  <w:style w:type="paragraph" w:styleId="Heading">
    <w:name w:val="Heading"/>
    <w:basedOn w:val="Normal"/>
    <w:next w:val="BodyText"/>
    <w:qFormat/>
    <w:pPr>
      <w:spacing w:before="0" w:after="240"/>
      <w:jc w:val="center"/>
    </w:pPr>
    <w:rPr>
      <w:rFonts w:ascii="Times New Roman Bold;Times New Roman" w:hAnsi="Times New Roman Bold;Times New Roman" w:cs="Times New Roman Bold;Times New Roman"/>
      <w:b/>
      <w:kern w:val="2"/>
      <w:sz w:val="24"/>
    </w:rPr>
  </w:style>
  <w:style w:type="paragraph" w:styleId="BodyText">
    <w:name w:val="Body Text"/>
    <w:basedOn w:val="Normal"/>
    <w:pPr>
      <w:spacing w:before="0" w:after="24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FootnoteTextMore">
    <w:name w:val="Footnote TextMore"/>
    <w:basedOn w:val="FootnoteText"/>
    <w:qFormat/>
    <w:pPr>
      <w:ind w:hanging="0" w:start="720" w:end="0"/>
    </w:pPr>
    <w:rPr/>
  </w:style>
  <w:style w:type="paragraph" w:styleId="BodyTextIndent3">
    <w:name w:val="Body Text Indent 3"/>
    <w:basedOn w:val="Normal"/>
    <w:qFormat/>
    <w:pPr>
      <w:spacing w:before="0" w:after="240"/>
      <w:ind w:firstLine="720" w:start="144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2">
    <w:name w:val="Body Text Indent 2"/>
    <w:basedOn w:val="Normal"/>
    <w:qFormat/>
    <w:pPr>
      <w:tabs>
        <w:tab w:val="clear" w:pos="720"/>
        <w:tab w:val="left" w:pos="1350" w:leader="none"/>
      </w:tabs>
      <w:spacing w:before="0" w:after="240"/>
      <w:ind w:firstLine="720" w:start="72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2000-09-14T21:33:00Z</dcterms:created>
  <dc:creator>mheard</dc:creator>
  <dc:description/>
  <dc:language>en-CA</dc:language>
  <cp:lastModifiedBy>A&amp;K</cp:lastModifiedBy>
  <cp:lastPrinted>2000-09-14T19:02:00Z</cp:lastPrinted>
  <dcterms:modified xsi:type="dcterms:W3CDTF">2000-09-14T21:33:00Z</dcterms:modified>
  <cp:revision>2</cp:revision>
  <dc:subject/>
  <dc:title>ISDA Multicurrency Agreement</dc:title>
</cp:coreProperties>
</file>