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end="180"/>
        <w:jc w:val="center"/>
        <w:rPr>
          <w:b/>
        </w:rPr>
      </w:pPr>
      <w:r>
        <w:rPr>
          <w:b/>
          <w:u w:val="single"/>
        </w:rPr>
        <w:t>EXHIBIT A</w:t>
      </w:r>
    </w:p>
    <w:p>
      <w:pPr>
        <w:pStyle w:val="Normal"/>
        <w:widowControl/>
        <w:ind w:end="180"/>
        <w:jc w:val="center"/>
        <w:rPr>
          <w:b/>
        </w:rPr>
      </w:pPr>
      <w:r>
        <w:rPr>
          <w:b/>
        </w:rPr>
        <w:t>ENRON CORP.</w:t>
      </w:r>
    </w:p>
    <w:p>
      <w:pPr>
        <w:pStyle w:val="Normal"/>
        <w:widowControl/>
        <w:spacing w:lineRule="exact" w:line="240"/>
        <w:ind w:end="180"/>
        <w:jc w:val="center"/>
        <w:rPr>
          <w:u w:val="single"/>
        </w:rPr>
      </w:pPr>
      <w:r>
        <w:rPr>
          <w:u w:val="single"/>
        </w:rPr>
        <w:t>Guaranty</w:t>
      </w:r>
    </w:p>
    <w:p>
      <w:pPr>
        <w:pStyle w:val="BodyTextFirstIndent"/>
        <w:widowControl/>
        <w:rPr/>
      </w:pPr>
      <w:r>
        <w:rPr/>
        <w:t xml:space="preserve">This Guaranty (the “Guaranty”), dated as of </w:t>
      </w:r>
      <w:r>
        <w:rPr>
          <w:u w:val="single"/>
        </w:rPr>
        <w:tab/>
        <w:tab/>
      </w:r>
      <w:r>
        <w:rPr/>
        <w:t xml:space="preserve">, 2000, is made and entered into by </w:t>
      </w:r>
      <w:r>
        <w:rPr>
          <w:caps/>
        </w:rPr>
        <w:t>Enron Corp.</w:t>
      </w:r>
      <w:r>
        <w:rPr/>
        <w:t>, an Oregon corporation (“Guarantor”).</w:t>
      </w:r>
    </w:p>
    <w:p>
      <w:pPr>
        <w:pStyle w:val="Normal"/>
        <w:keepNext w:val="true"/>
        <w:widowControl/>
        <w:spacing w:lineRule="exact" w:line="240" w:before="480" w:after="240"/>
        <w:jc w:val="center"/>
        <w:rPr>
          <w:b/>
          <w:caps/>
        </w:rPr>
      </w:pPr>
      <w:r>
        <w:rPr>
          <w:b/>
          <w:caps/>
        </w:rPr>
        <w:t>W I T N E S S E T H:</w:t>
      </w:r>
    </w:p>
    <w:p>
      <w:pPr>
        <w:pStyle w:val="Normal"/>
        <w:widowControl/>
        <w:spacing w:lineRule="atLeast" w:line="240"/>
        <w:ind w:firstLine="720" w:end="0"/>
        <w:rPr/>
      </w:pPr>
      <w:r>
        <w:rPr/>
        <w:t xml:space="preserve">WHEREAS, MIDCOAST MARKETING, INC., a </w:t>
      </w:r>
      <w:r>
        <w:rPr>
          <w:b/>
          <w:u w:val="double"/>
        </w:rPr>
        <w:t>Texas</w:t>
      </w:r>
      <w:r>
        <w:rPr/>
        <w:t xml:space="preserve"> corporation (“Counterparty”) and ENRON NORTH AMERICA CORP. (“Enron”), a wholly owned subsidiary of Guarantor, are contemplating entering into </w:t>
      </w:r>
      <w:r>
        <w:rPr>
          <w:b/>
          <w:u w:val="double"/>
        </w:rPr>
        <w:t>(i)</w:t>
      </w:r>
      <w:r>
        <w:rPr/>
        <w:t xml:space="preserve"> one or more swap, option or other financially-settled derivative transactions, which transactions will be evidenced by one or more swap agreements, confirmations and/or master agreements, including without limitation, the Master Agreement of even date herewith (the “Master Agreement”) </w:t>
      </w:r>
      <w:r>
        <w:rPr>
          <w:strike/>
        </w:rPr>
        <w:t>(all such swap, option or other financially-settled derivative transactions and the agreements evidencing same, including without limitation, the Master Agreement,</w:t>
      </w:r>
      <w:r>
        <w:rPr/>
        <w:t xml:space="preserve"> </w:t>
      </w:r>
      <w:r>
        <w:rPr>
          <w:b/>
          <w:u w:val="double"/>
        </w:rPr>
        <w:t>and (ii) one or more agreements for the sale, purchase, exchange, transportation of crude oil, natural gas, petroleum products or other energy commodities (all such agreements and transactions set forth in this paragraph (i) and (ii)</w:t>
      </w:r>
      <w:r>
        <w:rPr/>
        <w:t xml:space="preserve"> whether entered into prior to, on or after the date hereof, as the same may from time to time be modified, amended and supplemented, shall be referred to herein collectively as the </w:t>
      </w:r>
      <w:r>
        <w:rPr>
          <w:strike/>
        </w:rPr>
        <w:t>“Contract”)</w:t>
      </w:r>
      <w:r>
        <w:rPr>
          <w:b/>
          <w:u w:val="double"/>
        </w:rPr>
        <w:t>“Contracts”)</w:t>
      </w:r>
      <w:r>
        <w:rPr/>
        <w:t xml:space="preserve">; and </w:t>
      </w:r>
    </w:p>
    <w:p>
      <w:pPr>
        <w:pStyle w:val="Normal"/>
        <w:widowControl/>
        <w:spacing w:lineRule="atLeast" w:line="240"/>
        <w:ind w:firstLine="720" w:end="0"/>
        <w:rPr/>
      </w:pPr>
      <w:r>
        <w:rPr/>
        <w:t>WHEREAS, Guarantor will directly or indirectly benefit from the transactions to be entered into between Enron and Counterparty;</w:t>
      </w:r>
    </w:p>
    <w:p>
      <w:pPr>
        <w:pStyle w:val="Normal"/>
        <w:widowControl/>
        <w:spacing w:lineRule="atLeast" w:line="240"/>
        <w:ind w:firstLine="720" w:end="0"/>
        <w:rPr/>
      </w:pPr>
      <w:r>
        <w:rPr/>
        <w:t xml:space="preserve">NOW THEREFORE, in consideration of Counterparty entering into the </w:t>
      </w:r>
      <w:r>
        <w:rPr>
          <w:strike/>
        </w:rPr>
        <w:t>Contract</w:t>
      </w:r>
      <w:r>
        <w:rPr/>
        <w:t xml:space="preserve"> </w:t>
      </w:r>
      <w:r>
        <w:rPr>
          <w:b/>
          <w:u w:val="double"/>
        </w:rPr>
        <w:t>Contracts</w:t>
      </w:r>
      <w:r>
        <w:rPr/>
        <w:t>, Guarantor hereby covenants and agrees as follows:</w:t>
      </w:r>
    </w:p>
    <w:p>
      <w:pPr>
        <w:pStyle w:val="Normal"/>
        <w:widowControl/>
        <w:spacing w:lineRule="atLeast" w:line="240"/>
        <w:ind w:firstLine="720" w:end="0"/>
        <w:rPr/>
      </w:pPr>
      <w:r>
        <w:rPr/>
        <w:t xml:space="preserve">1.  </w:t>
      </w:r>
      <w:r>
        <w:rPr>
          <w:u w:val="single"/>
        </w:rPr>
        <w:t>GUARANTY</w:t>
      </w:r>
      <w:r>
        <w:rPr/>
        <w:t xml:space="preserve">.  Subject to the provisions hereof, Guarantor hereby irrevocably and unconditionally guarantees the timely payment when due of the obligations of Enron (the “Obligations”) to Counterparty under the </w:t>
      </w:r>
      <w:r>
        <w:rPr>
          <w:strike/>
        </w:rPr>
        <w:t>Contract</w:t>
      </w:r>
      <w:r>
        <w:rPr/>
        <w:t xml:space="preserve"> </w:t>
      </w:r>
      <w:r>
        <w:rPr>
          <w:b/>
          <w:u w:val="double"/>
        </w:rPr>
        <w:t>Contracts.  In the event that any payment of Enron in respect of any obligations is rescinded or recovered from Counterparty as a preference or fraudulent transfer under the Federal Bankruptcy Code, or any applicable state law, the Guarantor shall remain liable hereunder with respect to such obligations as if such payment had not been made.  This Guaranty shall continue to be effective if Counterparty merges or consolidates with or into another entity, loses its separate legal identity or ceases to exist</w:t>
      </w:r>
      <w:r>
        <w:rPr/>
        <w:t>.  This Guaranty shall constitute a guarantee of payment and not of collection.  The liability of Guarantor under the Guaranty shall be subject to the following:</w:t>
      </w:r>
    </w:p>
    <w:p>
      <w:pPr>
        <w:pStyle w:val="BodyTextIndent3"/>
        <w:widowControl/>
        <w:spacing w:before="240" w:after="240"/>
        <w:rPr/>
      </w:pPr>
      <w:r>
        <w:rPr/>
        <w:t xml:space="preserve">(a)  Guarantor’s liability hereunder shall be and is specifically limited to payments expressly required to be made under the </w:t>
      </w:r>
      <w:r>
        <w:rPr>
          <w:strike/>
        </w:rPr>
        <w:t>Contract</w:t>
      </w:r>
      <w:r>
        <w:rPr/>
        <w:t xml:space="preserve"> </w:t>
      </w:r>
      <w:r>
        <w:rPr>
          <w:b/>
          <w:u w:val="double"/>
        </w:rPr>
        <w:t>Contracts</w:t>
      </w:r>
      <w:r>
        <w:rPr/>
        <w:t xml:space="preserve"> (even if such payments are deemed to be damages) and, except to the extent specifically provided in the </w:t>
      </w:r>
      <w:r>
        <w:rPr>
          <w:strike/>
        </w:rPr>
        <w:t>Contract</w:t>
      </w:r>
      <w:r>
        <w:rPr/>
        <w:t xml:space="preserve"> </w:t>
      </w:r>
      <w:r>
        <w:rPr>
          <w:b/>
          <w:u w:val="double"/>
        </w:rPr>
        <w:t>Contracts</w:t>
      </w:r>
      <w:r>
        <w:rPr/>
        <w:t>, in no event shall Guarantor be subject hereunder to consequential, exemplary, equitable, loss of profits, punitive, tort, or any other damages, costs, or attorney’s fees.</w:t>
      </w:r>
    </w:p>
    <w:p>
      <w:pPr>
        <w:pStyle w:val="BodyTextIndent3"/>
        <w:widowControl/>
        <w:spacing w:before="240" w:after="240"/>
        <w:rPr/>
      </w:pPr>
      <w:r>
        <w:rPr/>
        <w:t>(b)  The aggregate amount covered by this Guaranty shall not exceed U.S. $10,000,000.</w:t>
      </w:r>
    </w:p>
    <w:p>
      <w:pPr>
        <w:pStyle w:val="Normal"/>
        <w:widowControl/>
        <w:spacing w:lineRule="atLeast" w:line="240"/>
        <w:ind w:firstLine="720" w:end="0"/>
        <w:rPr/>
      </w:pPr>
      <w:r>
        <w:rPr/>
        <w:t xml:space="preserve">2.  </w:t>
      </w:r>
      <w:r>
        <w:rPr>
          <w:u w:val="single"/>
        </w:rPr>
        <w:t>DEMANDS AND NOTICE</w:t>
      </w:r>
      <w:r>
        <w:rPr/>
        <w:t xml:space="preserve">.  Upon the occurrence and during the continuance of an Event of Default </w:t>
      </w:r>
      <w:r>
        <w:rPr>
          <w:b/>
          <w:u w:val="double"/>
        </w:rPr>
        <w:t>or Termination Event</w:t>
      </w:r>
      <w:r>
        <w:rPr/>
        <w:t xml:space="preserve">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widowControl/>
        <w:spacing w:lineRule="atLeast" w:line="240"/>
        <w:ind w:firstLine="720" w:end="0"/>
        <w:rPr/>
      </w:pPr>
      <w:r>
        <w:rPr/>
        <w:t xml:space="preserve">3.  </w:t>
      </w:r>
      <w:r>
        <w:rPr>
          <w:u w:val="single"/>
        </w:rPr>
        <w:t>REPRESENTATIONS AND WARRANTIES</w:t>
      </w:r>
      <w:r>
        <w:rPr/>
        <w:t>.  Guarantor represents and warrants that:</w:t>
      </w:r>
    </w:p>
    <w:p>
      <w:pPr>
        <w:pStyle w:val="Normal"/>
        <w:keepNext w:val="true"/>
        <w:widowControl/>
        <w:spacing w:lineRule="exact" w:line="240" w:before="240" w:after="240"/>
        <w:ind w:firstLine="630" w:start="810" w:end="0"/>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240"/>
        <w:ind w:firstLine="630" w:start="810" w:end="0"/>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240"/>
        <w:ind w:firstLine="720" w:start="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ind w:firstLine="720" w:end="0"/>
        <w:rPr/>
      </w:pPr>
      <w:r>
        <w:rPr/>
        <w:t xml:space="preserve">4.  </w:t>
      </w:r>
      <w:r>
        <w:rPr>
          <w:u w:val="single"/>
        </w:rPr>
        <w:t>SETOFFS AND COUNTERCLAIMS</w:t>
      </w:r>
      <w:r>
        <w:rPr/>
        <w:t xml:space="preserve">.  Without limiting Guarantor’s own defenses and rights hereunder, Guarantor reserves to itself all rights, setoffs, counterclaims and other defenses to which Enron or any other affiliate of Guarantor is or may be entitled to arising from or out of the </w:t>
      </w:r>
      <w:r>
        <w:rPr>
          <w:strike/>
        </w:rPr>
        <w:t>Contract</w:t>
      </w:r>
      <w:r>
        <w:rPr/>
        <w:t xml:space="preserve"> </w:t>
      </w:r>
      <w:r>
        <w:rPr>
          <w:b/>
          <w:u w:val="double"/>
        </w:rPr>
        <w:t>Contracts</w:t>
      </w:r>
      <w:r>
        <w:rPr/>
        <w:t xml:space="preserve"> or otherwise, except for defenses arising out of the bankruptcy, insolvency, dissolution or liquidation of Enron</w:t>
      </w:r>
      <w:r>
        <w:rPr>
          <w:b/>
          <w:u w:val="double"/>
        </w:rPr>
        <w:t>, the power or authority of Enron to enter into the Contracts and to perform its obligations thereunder, and the lack of validity or enforceability of Enron’s obligations under the Contracts or any transaction thereunder</w:t>
      </w:r>
      <w:r>
        <w:rPr/>
        <w:t>.</w:t>
      </w:r>
    </w:p>
    <w:p>
      <w:pPr>
        <w:pStyle w:val="Normal"/>
        <w:widowControl/>
        <w:spacing w:lineRule="atLeast" w:line="240"/>
        <w:ind w:firstLine="720" w:end="0"/>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spacing w:lineRule="atLeast" w:line="240"/>
        <w:ind w:firstLine="720" w:end="0"/>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r>
        <w:rPr>
          <w:b/>
          <w:u w:val="double"/>
        </w:rPr>
        <w:t>, nor shall any single or partial exercise by Counterparty of any right, remedy or power hereunder preclude any other or future exercise of any right, remedy or power.  Each and every right, remedy and power hereby granted to Counterparty or allowed it by law or other agreement shall be cumulative and not exclusive of any other, and may be exercised by Counterparty from time to time</w:t>
      </w:r>
      <w:r>
        <w:rPr/>
        <w:t>.</w:t>
      </w:r>
    </w:p>
    <w:p>
      <w:pPr>
        <w:pStyle w:val="Normal"/>
        <w:widowControl/>
        <w:spacing w:lineRule="atLeast" w:line="240"/>
        <w:ind w:firstLine="720" w:end="0"/>
        <w:rPr/>
      </w:pPr>
      <w:r>
        <w:rPr/>
        <w:t xml:space="preserve">Guarantor consents to the renewal, compromise, extension, acceleration or other changes in the time of payment of or other changes in the terms of the Obligations, or any part thereof or any changes or modifications to the terms of the </w:t>
      </w:r>
      <w:r>
        <w:rPr>
          <w:strike/>
        </w:rPr>
        <w:t>Contract</w:t>
      </w:r>
      <w:r>
        <w:rPr/>
        <w:t xml:space="preserve"> </w:t>
      </w:r>
      <w:r>
        <w:rPr>
          <w:b/>
          <w:u w:val="double"/>
        </w:rPr>
        <w:t>Contracts</w:t>
      </w:r>
      <w:r>
        <w:rPr/>
        <w:t>.</w:t>
      </w:r>
    </w:p>
    <w:p>
      <w:pPr>
        <w:pStyle w:val="Normal"/>
        <w:widowControl/>
        <w:spacing w:lineRule="atLeast" w:line="240"/>
        <w:ind w:firstLine="720" w:end="0"/>
        <w:rPr/>
      </w:pPr>
      <w:r>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w:t>
      </w:r>
      <w:r>
        <w:rPr>
          <w:strike/>
        </w:rPr>
        <w:t>Contract)</w:t>
      </w:r>
      <w:r>
        <w:rPr/>
        <w:t xml:space="preserve"> </w:t>
      </w:r>
      <w:r>
        <w:rPr>
          <w:b/>
          <w:u w:val="double"/>
        </w:rPr>
        <w:t>Contracts)</w:t>
      </w:r>
      <w:r>
        <w:rPr/>
        <w:t xml:space="preserve"> entered into prior to the time the termination is effective, which Transaction shall remain guaranteed pursuant to the terms of this Guaranty.</w:t>
      </w:r>
    </w:p>
    <w:p>
      <w:pPr>
        <w:pStyle w:val="Normal"/>
        <w:widowControl/>
        <w:spacing w:lineRule="atLeast" w:line="240"/>
        <w:ind w:firstLine="720" w:end="0"/>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9648" w:type="dxa"/>
        <w:jc w:val="start"/>
        <w:tblInd w:w="0" w:type="dxa"/>
        <w:tblLayout w:type="fixed"/>
        <w:tblCellMar>
          <w:top w:w="0" w:type="dxa"/>
          <w:start w:w="108" w:type="dxa"/>
          <w:bottom w:w="0" w:type="dxa"/>
          <w:end w:w="108" w:type="dxa"/>
        </w:tblCellMar>
      </w:tblPr>
      <w:tblGrid>
        <w:gridCol w:w="1818"/>
        <w:gridCol w:w="3510"/>
        <w:gridCol w:w="1620"/>
        <w:gridCol w:w="2700"/>
      </w:tblGrid>
      <w:tr>
        <w:trPr/>
        <w:tc>
          <w:tcPr>
            <w:tcW w:w="1818" w:type="dxa"/>
            <w:tcBorders/>
          </w:tcPr>
          <w:p>
            <w:pPr>
              <w:pStyle w:val="Normal"/>
              <w:keepNext w:val="true"/>
              <w:keepLines/>
              <w:widowControl/>
              <w:spacing w:lineRule="atLeast" w:line="240" w:before="0" w:after="240"/>
              <w:rPr>
                <w:color w:val="000000"/>
              </w:rPr>
            </w:pPr>
            <w:r>
              <w:rPr>
                <w:color w:val="000000"/>
              </w:rPr>
              <w:t>To Counterparty:</w:t>
            </w:r>
          </w:p>
        </w:tc>
        <w:tc>
          <w:tcPr>
            <w:tcW w:w="3510" w:type="dxa"/>
            <w:tcBorders/>
          </w:tcPr>
          <w:p>
            <w:pPr>
              <w:pStyle w:val="Normal"/>
              <w:keepNext w:val="true"/>
              <w:keepLines/>
              <w:widowControl/>
              <w:tabs>
                <w:tab w:val="clear" w:pos="720"/>
                <w:tab w:val="left" w:pos="3132" w:leader="none"/>
              </w:tabs>
              <w:spacing w:lineRule="atLeast" w:line="240" w:before="0" w:after="240"/>
              <w:rPr>
                <w:color w:val="000000"/>
              </w:rPr>
            </w:pPr>
            <w:r>
              <w:rPr>
                <w:color w:val="000000"/>
              </w:rPr>
              <w:t>Midcoast Marketing, Inc.</w:t>
            </w:r>
          </w:p>
        </w:tc>
        <w:tc>
          <w:tcPr>
            <w:tcW w:w="1620" w:type="dxa"/>
            <w:tcBorders/>
          </w:tcPr>
          <w:p>
            <w:pPr>
              <w:pStyle w:val="Normal"/>
              <w:keepNext w:val="true"/>
              <w:keepLines/>
              <w:widowControl/>
              <w:spacing w:lineRule="atLeast" w:line="240" w:before="0" w:after="240"/>
              <w:rPr>
                <w:color w:val="000000"/>
              </w:rPr>
            </w:pPr>
            <w:r>
              <w:rPr>
                <w:color w:val="000000"/>
              </w:rPr>
              <w:t>To Guarantor:</w:t>
            </w:r>
          </w:p>
        </w:tc>
        <w:tc>
          <w:tcPr>
            <w:tcW w:w="2700" w:type="dxa"/>
            <w:tcBorders/>
          </w:tcPr>
          <w:p>
            <w:pPr>
              <w:pStyle w:val="Normal"/>
              <w:keepNext w:val="true"/>
              <w:keepLines/>
              <w:widowControl/>
              <w:tabs>
                <w:tab w:val="clear" w:pos="720"/>
                <w:tab w:val="right" w:pos="2988" w:leader="none"/>
              </w:tabs>
              <w:spacing w:lineRule="atLeast" w:line="240" w:before="0" w:after="240"/>
              <w:rPr>
                <w:color w:val="000000"/>
              </w:rPr>
            </w:pPr>
            <w:r>
              <w:rPr>
                <w:color w:val="000000"/>
              </w:rPr>
              <w:t>Enron Corp.</w:t>
            </w:r>
          </w:p>
        </w:tc>
      </w:tr>
      <w:tr>
        <w:trPr/>
        <w:tc>
          <w:tcPr>
            <w:tcW w:w="1818" w:type="dxa"/>
            <w:tcBorders/>
          </w:tcPr>
          <w:p>
            <w:pPr>
              <w:pStyle w:val="Normal"/>
              <w:keepNext w:val="true"/>
              <w:keepLines/>
              <w:widowControl/>
              <w:snapToGrid w:val="false"/>
              <w:spacing w:lineRule="atLeast" w:line="240" w:before="0" w:after="240"/>
              <w:rPr>
                <w:color w:val="000000"/>
              </w:rPr>
            </w:pPr>
            <w:r>
              <w:rPr>
                <w:color w:val="000000"/>
              </w:rPr>
            </w:r>
          </w:p>
        </w:tc>
        <w:tc>
          <w:tcPr>
            <w:tcW w:w="3510" w:type="dxa"/>
            <w:tcBorders/>
          </w:tcPr>
          <w:p>
            <w:pPr>
              <w:pStyle w:val="Normal"/>
              <w:keepNext w:val="true"/>
              <w:keepLines/>
              <w:widowControl/>
              <w:tabs>
                <w:tab w:val="clear" w:pos="720"/>
                <w:tab w:val="left" w:pos="3132" w:leader="none"/>
              </w:tabs>
              <w:spacing w:lineRule="atLeast" w:line="240" w:before="0" w:after="240"/>
              <w:rPr>
                <w:color w:val="000000"/>
              </w:rPr>
            </w:pPr>
            <w:r>
              <w:rPr>
                <w:color w:val="000000"/>
              </w:rPr>
              <w:t xml:space="preserve"> </w:t>
            </w:r>
            <w:r>
              <w:rPr>
                <w:strike/>
                <w:color w:val="000000"/>
              </w:rPr>
              <w:t>1001</w:t>
            </w:r>
            <w:r>
              <w:rPr>
                <w:color w:val="000000"/>
              </w:rPr>
              <w:t xml:space="preserve"> </w:t>
            </w:r>
            <w:r>
              <w:rPr>
                <w:b/>
                <w:color w:val="000000"/>
                <w:u w:val="double"/>
              </w:rPr>
              <w:t>1100</w:t>
            </w:r>
            <w:r>
              <w:rPr>
                <w:color w:val="000000"/>
              </w:rPr>
              <w:t xml:space="preserve"> Louisiana, Suite </w:t>
            </w:r>
            <w:r>
              <w:rPr>
                <w:strike/>
                <w:color w:val="000000"/>
              </w:rPr>
              <w:t>2950</w:t>
            </w:r>
            <w:r>
              <w:rPr>
                <w:color w:val="000000"/>
              </w:rPr>
              <w:t xml:space="preserve"> </w:t>
            </w:r>
            <w:r>
              <w:rPr>
                <w:b/>
                <w:color w:val="000000"/>
                <w:u w:val="double"/>
              </w:rPr>
              <w:t>2900</w:t>
            </w:r>
          </w:p>
        </w:tc>
        <w:tc>
          <w:tcPr>
            <w:tcW w:w="1620" w:type="dxa"/>
            <w:tcBorders/>
          </w:tcPr>
          <w:p>
            <w:pPr>
              <w:pStyle w:val="Normal"/>
              <w:keepNext w:val="true"/>
              <w:keepLines/>
              <w:widowControl/>
              <w:snapToGrid w:val="false"/>
              <w:spacing w:lineRule="atLeast" w:line="240" w:before="0" w:after="240"/>
              <w:rPr>
                <w:color w:val="000000"/>
              </w:rPr>
            </w:pPr>
            <w:r>
              <w:rPr>
                <w:color w:val="000000"/>
              </w:rPr>
            </w:r>
          </w:p>
        </w:tc>
        <w:tc>
          <w:tcPr>
            <w:tcW w:w="2700" w:type="dxa"/>
            <w:tcBorders/>
          </w:tcPr>
          <w:p>
            <w:pPr>
              <w:pStyle w:val="Normal"/>
              <w:keepNext w:val="true"/>
              <w:keepLines/>
              <w:widowControl/>
              <w:tabs>
                <w:tab w:val="clear" w:pos="720"/>
                <w:tab w:val="right" w:pos="2988" w:leader="none"/>
              </w:tabs>
              <w:spacing w:lineRule="atLeast" w:line="240" w:before="0" w:after="240"/>
              <w:rPr>
                <w:color w:val="000000"/>
              </w:rPr>
            </w:pPr>
            <w:r>
              <w:rPr>
                <w:color w:val="000000"/>
              </w:rPr>
              <w:t>1400 Smith Street</w:t>
            </w:r>
          </w:p>
        </w:tc>
      </w:tr>
      <w:tr>
        <w:trPr/>
        <w:tc>
          <w:tcPr>
            <w:tcW w:w="1818" w:type="dxa"/>
            <w:tcBorders/>
          </w:tcPr>
          <w:p>
            <w:pPr>
              <w:pStyle w:val="Normal"/>
              <w:keepNext w:val="true"/>
              <w:keepLines/>
              <w:widowControl/>
              <w:snapToGrid w:val="false"/>
              <w:spacing w:lineRule="atLeast" w:line="240" w:before="0" w:after="240"/>
              <w:rPr>
                <w:color w:val="000000"/>
              </w:rPr>
            </w:pPr>
            <w:r>
              <w:rPr>
                <w:color w:val="000000"/>
              </w:rPr>
            </w:r>
          </w:p>
        </w:tc>
        <w:tc>
          <w:tcPr>
            <w:tcW w:w="3510" w:type="dxa"/>
            <w:tcBorders/>
          </w:tcPr>
          <w:p>
            <w:pPr>
              <w:pStyle w:val="Normal"/>
              <w:keepNext w:val="true"/>
              <w:keepLines/>
              <w:widowControl/>
              <w:tabs>
                <w:tab w:val="clear" w:pos="720"/>
                <w:tab w:val="left" w:pos="3132" w:leader="none"/>
              </w:tabs>
              <w:spacing w:lineRule="atLeast" w:line="240" w:before="0" w:after="240"/>
              <w:rPr>
                <w:color w:val="000000"/>
              </w:rPr>
            </w:pPr>
            <w:r>
              <w:rPr>
                <w:color w:val="000000"/>
              </w:rPr>
              <w:t>Houston, Texas 77002</w:t>
            </w:r>
          </w:p>
        </w:tc>
        <w:tc>
          <w:tcPr>
            <w:tcW w:w="1620" w:type="dxa"/>
            <w:tcBorders/>
          </w:tcPr>
          <w:p>
            <w:pPr>
              <w:pStyle w:val="Normal"/>
              <w:keepNext w:val="true"/>
              <w:keepLines/>
              <w:widowControl/>
              <w:snapToGrid w:val="false"/>
              <w:spacing w:lineRule="atLeast" w:line="240" w:before="0" w:after="240"/>
              <w:rPr>
                <w:color w:val="000000"/>
              </w:rPr>
            </w:pPr>
            <w:r>
              <w:rPr>
                <w:color w:val="000000"/>
              </w:rPr>
            </w:r>
          </w:p>
        </w:tc>
        <w:tc>
          <w:tcPr>
            <w:tcW w:w="2700" w:type="dxa"/>
            <w:tcBorders/>
          </w:tcPr>
          <w:p>
            <w:pPr>
              <w:pStyle w:val="Normal"/>
              <w:keepNext w:val="true"/>
              <w:keepLines/>
              <w:widowControl/>
              <w:tabs>
                <w:tab w:val="clear" w:pos="720"/>
                <w:tab w:val="right" w:pos="2988" w:leader="none"/>
              </w:tabs>
              <w:spacing w:lineRule="atLeast" w:line="240" w:before="0" w:after="240"/>
              <w:rPr>
                <w:color w:val="000000"/>
              </w:rPr>
            </w:pPr>
            <w:r>
              <w:rPr>
                <w:color w:val="000000"/>
              </w:rPr>
              <w:t>Houston, Texas  77002</w:t>
            </w:r>
          </w:p>
        </w:tc>
      </w:tr>
      <w:tr>
        <w:trPr/>
        <w:tc>
          <w:tcPr>
            <w:tcW w:w="1818" w:type="dxa"/>
            <w:tcBorders/>
          </w:tcPr>
          <w:p>
            <w:pPr>
              <w:pStyle w:val="Normal"/>
              <w:keepNext w:val="true"/>
              <w:keepLines/>
              <w:widowControl/>
              <w:snapToGrid w:val="false"/>
              <w:spacing w:lineRule="atLeast" w:line="240" w:before="0" w:after="240"/>
              <w:rPr>
                <w:color w:val="000000"/>
              </w:rPr>
            </w:pPr>
            <w:r>
              <w:rPr>
                <w:color w:val="000000"/>
              </w:rPr>
            </w:r>
          </w:p>
        </w:tc>
        <w:tc>
          <w:tcPr>
            <w:tcW w:w="3510" w:type="dxa"/>
            <w:tcBorders/>
          </w:tcPr>
          <w:p>
            <w:pPr>
              <w:pStyle w:val="Normal"/>
              <w:keepNext w:val="true"/>
              <w:keepLines/>
              <w:widowControl/>
              <w:tabs>
                <w:tab w:val="clear" w:pos="720"/>
                <w:tab w:val="left" w:pos="3132" w:leader="none"/>
              </w:tabs>
              <w:spacing w:lineRule="atLeast" w:line="240"/>
              <w:rPr>
                <w:color w:val="000000"/>
              </w:rPr>
            </w:pPr>
            <w:r>
              <w:rPr>
                <w:color w:val="000000"/>
              </w:rPr>
              <w:t xml:space="preserve">Attn.:  </w:t>
            </w:r>
            <w:r>
              <w:rPr>
                <w:b/>
                <w:color w:val="000000"/>
                <w:u w:val="double"/>
              </w:rPr>
              <w:t>General Counsel</w:t>
            </w:r>
          </w:p>
          <w:p>
            <w:pPr>
              <w:pStyle w:val="Normal"/>
              <w:keepNext w:val="true"/>
              <w:keepLines/>
              <w:widowControl/>
              <w:tabs>
                <w:tab w:val="clear" w:pos="720"/>
                <w:tab w:val="left" w:pos="3132" w:leader="none"/>
              </w:tabs>
              <w:spacing w:lineRule="atLeast" w:line="240" w:before="0" w:after="240"/>
              <w:rPr>
                <w:color w:val="000000"/>
              </w:rPr>
            </w:pPr>
            <w:r>
              <w:rPr>
                <w:color w:val="000000"/>
              </w:rPr>
              <w:t xml:space="preserve">Fax No.:  </w:t>
            </w:r>
            <w:r>
              <w:rPr>
                <w:b/>
                <w:color w:val="000000"/>
                <w:u w:val="double"/>
              </w:rPr>
              <w:t>(713) 650-3232</w:t>
            </w:r>
          </w:p>
        </w:tc>
        <w:tc>
          <w:tcPr>
            <w:tcW w:w="1620" w:type="dxa"/>
            <w:tcBorders/>
          </w:tcPr>
          <w:p>
            <w:pPr>
              <w:pStyle w:val="Normal"/>
              <w:keepNext w:val="true"/>
              <w:keepLines/>
              <w:widowControl/>
              <w:snapToGrid w:val="false"/>
              <w:spacing w:lineRule="atLeast" w:line="240" w:before="0" w:after="240"/>
              <w:rPr>
                <w:color w:val="000000"/>
              </w:rPr>
            </w:pPr>
            <w:r>
              <w:rPr>
                <w:color w:val="000000"/>
              </w:rPr>
            </w:r>
          </w:p>
        </w:tc>
        <w:tc>
          <w:tcPr>
            <w:tcW w:w="2700" w:type="dxa"/>
            <w:tcBorders/>
          </w:tcPr>
          <w:p>
            <w:pPr>
              <w:pStyle w:val="Normal"/>
              <w:keepNext w:val="true"/>
              <w:keepLines/>
              <w:widowControl/>
              <w:tabs>
                <w:tab w:val="clear" w:pos="720"/>
                <w:tab w:val="right" w:pos="2988" w:leader="none"/>
              </w:tabs>
              <w:spacing w:lineRule="atLeast" w:line="240" w:before="0" w:after="240"/>
              <w:rPr>
                <w:color w:val="000000"/>
              </w:rPr>
            </w:pPr>
            <w:r>
              <w:rPr>
                <w:color w:val="000000"/>
              </w:rPr>
              <w:t>Attn.:  Vice President, Finance and Treasurer</w:t>
            </w:r>
          </w:p>
        </w:tc>
      </w:tr>
      <w:tr>
        <w:trPr/>
        <w:tc>
          <w:tcPr>
            <w:tcW w:w="1818" w:type="dxa"/>
            <w:tcBorders/>
          </w:tcPr>
          <w:p>
            <w:pPr>
              <w:pStyle w:val="Normal"/>
              <w:keepNext w:val="true"/>
              <w:keepLines/>
              <w:widowControl/>
              <w:snapToGrid w:val="false"/>
              <w:spacing w:lineRule="atLeast" w:line="240" w:before="0" w:after="240"/>
              <w:rPr>
                <w:color w:val="000000"/>
              </w:rPr>
            </w:pPr>
            <w:r>
              <w:rPr>
                <w:color w:val="000000"/>
              </w:rPr>
            </w:r>
          </w:p>
        </w:tc>
        <w:tc>
          <w:tcPr>
            <w:tcW w:w="3510" w:type="dxa"/>
            <w:tcBorders/>
          </w:tcPr>
          <w:p>
            <w:pPr>
              <w:pStyle w:val="Normal"/>
              <w:keepNext w:val="true"/>
              <w:keepLines/>
              <w:widowControl/>
              <w:tabs>
                <w:tab w:val="clear" w:pos="720"/>
                <w:tab w:val="left" w:pos="3132" w:leader="none"/>
              </w:tabs>
              <w:snapToGrid w:val="false"/>
              <w:spacing w:lineRule="atLeast" w:line="240" w:before="0" w:after="240"/>
              <w:rPr>
                <w:color w:val="000000"/>
              </w:rPr>
            </w:pPr>
            <w:r>
              <w:rPr>
                <w:color w:val="000000"/>
              </w:rPr>
            </w:r>
          </w:p>
        </w:tc>
        <w:tc>
          <w:tcPr>
            <w:tcW w:w="1620" w:type="dxa"/>
            <w:tcBorders/>
          </w:tcPr>
          <w:p>
            <w:pPr>
              <w:pStyle w:val="Normal"/>
              <w:keepNext w:val="true"/>
              <w:keepLines/>
              <w:widowControl/>
              <w:snapToGrid w:val="false"/>
              <w:spacing w:lineRule="atLeast" w:line="240" w:before="0" w:after="240"/>
              <w:rPr>
                <w:color w:val="000000"/>
              </w:rPr>
            </w:pPr>
            <w:r>
              <w:rPr>
                <w:color w:val="000000"/>
              </w:rPr>
            </w:r>
          </w:p>
        </w:tc>
        <w:tc>
          <w:tcPr>
            <w:tcW w:w="2700" w:type="dxa"/>
            <w:tcBorders/>
          </w:tcPr>
          <w:p>
            <w:pPr>
              <w:pStyle w:val="Normal"/>
              <w:keepNext w:val="true"/>
              <w:keepLines/>
              <w:widowControl/>
              <w:tabs>
                <w:tab w:val="clear" w:pos="720"/>
                <w:tab w:val="right" w:pos="2988" w:leader="none"/>
              </w:tabs>
              <w:spacing w:lineRule="atLeast" w:line="240" w:before="0" w:after="240"/>
              <w:rPr>
                <w:color w:val="000000"/>
              </w:rPr>
            </w:pPr>
            <w:r>
              <w:rPr>
                <w:color w:val="000000"/>
              </w:rPr>
              <w:t>Fax No.:  (713) 646-3422</w:t>
            </w:r>
          </w:p>
        </w:tc>
      </w:tr>
    </w:tbl>
    <w:p>
      <w:pPr>
        <w:pStyle w:val="Normal"/>
        <w:widowControl/>
        <w:tabs>
          <w:tab w:val="clear" w:pos="720"/>
          <w:tab w:val="left" w:pos="2880" w:leader="none"/>
          <w:tab w:val="left" w:pos="6480" w:leader="none"/>
        </w:tabs>
        <w:spacing w:lineRule="exact" w:line="240"/>
        <w:ind w:start="720" w:end="0"/>
        <w:rPr/>
      </w:pPr>
      <w:r>
        <w:rPr/>
      </w:r>
    </w:p>
    <w:p>
      <w:pPr>
        <w:pStyle w:val="Normal"/>
        <w:widowControl/>
        <w:spacing w:lineRule="atLeast" w:line="24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spacing w:lineRule="atLeast" w:line="240"/>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rPr/>
      </w:pPr>
      <w:r>
        <w:rPr/>
        <w:t>8</w:t>
      </w:r>
      <w:r>
        <w:rPr>
          <w:b/>
          <w:u w:val="double"/>
        </w:rPr>
        <w:t>.  CONSENTS AND WAIVERS.  Guarantor agrees that Counterparty may, at any time and from time to time, without notice to or consent of the Guarantor and without impairing or releasing the obligations of the Guarantor hereunder:  (1) take or fail to take any action of any kind in respect of any security for any obligation or liability of Enron to Counterparty, (2) exercise or refrain from exercising any rights against Enron or others, or (3) compromise or subordinate any obligation or liability of Enron to Counterparty including any security therefore.</w:t>
      </w:r>
    </w:p>
    <w:p>
      <w:pPr>
        <w:pStyle w:val="Normal"/>
        <w:widowControl/>
        <w:spacing w:lineRule="atLeast" w:line="240"/>
        <w:ind w:firstLine="720" w:end="0"/>
        <w:rPr>
          <w:b/>
          <w:u w:val="double"/>
        </w:rPr>
      </w:pPr>
      <w:r>
        <w:rPr>
          <w:b/>
          <w:u w:val="double"/>
        </w:rPr>
        <w:t>9.  SUBROGATION.  Guarantor waives its right to be subrogated to the rights of Counterparty with respect to any Obligations paid or performed by Guarantor until Guarantor has fully and indefeasibly satisfied all of Guarantor’s obligations under this Guaranty.</w:t>
      </w:r>
    </w:p>
    <w:p>
      <w:pPr>
        <w:pStyle w:val="Normal"/>
        <w:widowControl/>
        <w:spacing w:lineRule="atLeast" w:line="240"/>
        <w:ind w:firstLine="720" w:end="0"/>
        <w:rPr>
          <w:b/>
          <w:u w:val="double"/>
        </w:rPr>
      </w:pPr>
      <w:r>
        <w:rPr>
          <w:b/>
          <w:u w:val="double"/>
        </w:rPr>
        <w:t>10.  ASSIGNMENT.  The Guarantor shall not assign its rights, interest or obligations hereunder to any other person without the prior written consent of the Counterparty and any purported assignment absent such consent is void.</w:t>
      </w:r>
    </w:p>
    <w:p>
      <w:pPr>
        <w:pStyle w:val="Normal"/>
        <w:widowControl/>
        <w:spacing w:lineRule="atLeast" w:line="240"/>
        <w:ind w:firstLine="720" w:end="0"/>
        <w:rPr/>
      </w:pPr>
      <w:r>
        <w:rPr>
          <w:b/>
          <w:u w:val="double"/>
        </w:rPr>
        <w:t>11</w:t>
      </w:r>
      <w:r>
        <w:rPr/>
        <w:t xml:space="preserve">.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rPr/>
      </w:pPr>
      <w:r>
        <w:rPr/>
        <w:t xml:space="preserve">IN WITNESS WHEREOF, the Guarantor has executed this Guaranty on </w:t>
        <w:tab/>
      </w:r>
      <w:r>
        <w:rPr>
          <w:u w:val="single"/>
        </w:rPr>
        <w:tab/>
      </w:r>
      <w:r>
        <w:rPr/>
        <w:t>, 2000, but it is effective as of the date first above written.</w:t>
      </w:r>
    </w:p>
    <w:p>
      <w:pPr>
        <w:pStyle w:val="Normal"/>
        <w:widowControl/>
        <w:spacing w:lineRule="atLeast" w:line="240"/>
        <w:ind w:start="5040" w:end="0"/>
        <w:rPr>
          <w:b/>
        </w:rPr>
      </w:pPr>
      <w:r>
        <w:rPr>
          <w:b/>
        </w:rPr>
        <w:t>ENRON CORP.</w:t>
      </w:r>
    </w:p>
    <w:p>
      <w:pPr>
        <w:pStyle w:val="Normal"/>
        <w:widowControl/>
        <w:spacing w:lineRule="atLeast" w:line="240"/>
        <w:ind w:start="5040" w:end="0"/>
        <w:rPr>
          <w:b/>
        </w:rPr>
      </w:pPr>
      <w:r>
        <w:rPr>
          <w:b/>
        </w:rPr>
      </w:r>
    </w:p>
    <w:p>
      <w:pPr>
        <w:pStyle w:val="Normal"/>
        <w:widowControl/>
        <w:spacing w:lineRule="atLeast" w:line="240"/>
        <w:ind w:start="5040" w:end="0"/>
        <w:rPr/>
      </w:pPr>
      <w:r>
        <w:rPr/>
        <w:t xml:space="preserve">By:  </w:t>
      </w:r>
      <w:r>
        <w:rPr>
          <w:u w:val="single"/>
        </w:rPr>
        <w:tab/>
        <w:tab/>
        <w:tab/>
        <w:tab/>
        <w:tab/>
        <w:tab/>
      </w:r>
    </w:p>
    <w:p>
      <w:pPr>
        <w:pStyle w:val="Normal"/>
        <w:widowControl/>
        <w:spacing w:lineRule="atLeast" w:line="240"/>
        <w:ind w:start="5040" w:end="0"/>
        <w:rPr/>
      </w:pPr>
      <w:r>
        <w:rPr/>
        <w:t xml:space="preserve">Name:  </w:t>
      </w:r>
      <w:r>
        <w:rPr>
          <w:u w:val="single"/>
        </w:rPr>
        <w:tab/>
        <w:tab/>
        <w:tab/>
        <w:tab/>
        <w:tab/>
        <w:tab/>
      </w:r>
    </w:p>
    <w:p>
      <w:pPr>
        <w:pStyle w:val="Normal"/>
        <w:widowControl/>
        <w:spacing w:lineRule="atLeast" w:line="240"/>
        <w:ind w:start="5040" w:end="0"/>
        <w:rPr/>
      </w:pPr>
      <w:r>
        <w:rPr/>
        <w:t xml:space="preserve">Title:  </w:t>
      </w:r>
      <w:r>
        <w:rPr>
          <w:u w:val="single"/>
        </w:rPr>
        <w:tab/>
        <w:tab/>
        <w:tab/>
        <w:tab/>
        <w:tab/>
        <w:tab/>
      </w:r>
    </w:p>
    <w:p>
      <w:pPr>
        <w:pStyle w:val="Normal"/>
        <w:widowControl/>
        <w:spacing w:lineRule="atLeast" w:line="240"/>
        <w:ind w:start="5040" w:end="0"/>
        <w:rPr>
          <w:u w:val="single"/>
        </w:rPr>
      </w:pPr>
      <w:r>
        <w:rPr>
          <w:u w:val="single"/>
        </w:rPr>
      </w:r>
    </w:p>
    <w:p>
      <w:pPr>
        <w:pStyle w:val="Normal"/>
        <w:widowControl/>
        <w:ind w:end="187"/>
        <w:jc w:val="center"/>
        <w:rPr>
          <w:b/>
          <w:u w:val="single"/>
        </w:rPr>
      </w:pPr>
      <w:r>
        <w:rPr>
          <w:b/>
          <w:u w:val="single"/>
        </w:rPr>
      </w:r>
    </w:p>
    <w:p>
      <w:pPr>
        <w:pStyle w:val="Normal"/>
        <w:widowControl/>
        <w:ind w:end="187"/>
        <w:jc w:val="center"/>
        <w:rPr>
          <w:b/>
          <w:u w:val="single"/>
        </w:rPr>
      </w:pPr>
      <w:r>
        <w:rPr>
          <w:b/>
          <w:u w:val="single"/>
        </w:rPr>
      </w:r>
      <w:r>
        <w:br w:type="page"/>
      </w:r>
    </w:p>
    <w:p>
      <w:pPr>
        <w:pStyle w:val="Normal"/>
        <w:widowControl/>
        <w:ind w:end="187"/>
        <w:jc w:val="center"/>
        <w:rPr>
          <w:b/>
          <w:u w:val="double"/>
        </w:rPr>
      </w:pPr>
      <w:r>
        <w:rPr>
          <w:b/>
          <w:u w:val="double"/>
        </w:rPr>
        <w:t>Exhibit B</w:t>
      </w:r>
    </w:p>
    <w:p>
      <w:pPr>
        <w:pStyle w:val="Normal"/>
        <w:widowControl/>
        <w:spacing w:lineRule="exact" w:line="240"/>
        <w:ind w:end="180"/>
        <w:jc w:val="center"/>
        <w:rPr>
          <w:b/>
          <w:u w:val="double"/>
        </w:rPr>
      </w:pPr>
      <w:r>
        <w:rPr>
          <w:b/>
          <w:u w:val="double"/>
        </w:rPr>
        <w:t>MIDCOAST ENERGY RESOURCES, INC.</w:t>
      </w:r>
    </w:p>
    <w:p>
      <w:pPr>
        <w:pStyle w:val="Normal"/>
        <w:widowControl/>
        <w:spacing w:lineRule="exact" w:line="240"/>
        <w:ind w:end="180"/>
        <w:jc w:val="center"/>
        <w:rPr>
          <w:b/>
          <w:u w:val="double"/>
        </w:rPr>
      </w:pPr>
      <w:r>
        <w:rPr>
          <w:b/>
          <w:u w:val="double"/>
        </w:rPr>
        <w:t>Guaranty</w:t>
      </w:r>
    </w:p>
    <w:p>
      <w:pPr>
        <w:pStyle w:val="BodyTextFirstIndent"/>
        <w:widowControl/>
        <w:rPr>
          <w:b/>
          <w:u w:val="double"/>
        </w:rPr>
      </w:pPr>
      <w:r>
        <w:rPr>
          <w:b/>
          <w:u w:val="double"/>
        </w:rPr>
        <w:t>This Amended and Restated Guaranty (this “Guaranty”), dated as of ____________, 2000, is made and entered into by MIDCOAST ENERGY RESOURCES, INC.., a Delaware corporation (“Guarantor”).</w:t>
      </w:r>
    </w:p>
    <w:p>
      <w:pPr>
        <w:pStyle w:val="Heading"/>
        <w:widowControl/>
        <w:rPr>
          <w:u w:val="double"/>
        </w:rPr>
      </w:pPr>
      <w:r>
        <w:rPr>
          <w:u w:val="double"/>
        </w:rPr>
        <w:t>W I T N E S S E T H:</w:t>
      </w:r>
    </w:p>
    <w:p>
      <w:pPr>
        <w:pStyle w:val="BodyTextFirstIndent"/>
        <w:widowControl/>
        <w:rPr>
          <w:b/>
          <w:u w:val="double"/>
        </w:rPr>
      </w:pPr>
      <w:r>
        <w:rPr>
          <w:b/>
          <w:u w:val="double"/>
        </w:rPr>
        <w:t xml:space="preserve">WHEREAS, Midcoast Marketing, Inc., a Texas corporation (“Counterparty”), which is wholly owned by Guarantor, and Enron North America Corp., a Delaware corporation (“ENA”) are contemplating entering into: </w:t>
      </w:r>
    </w:p>
    <w:p>
      <w:pPr>
        <w:pStyle w:val="BodyTextFirstIndent"/>
        <w:widowControl/>
        <w:rPr>
          <w:b/>
          <w:u w:val="double"/>
        </w:rPr>
      </w:pPr>
      <w:r>
        <w:rPr>
          <w:b/>
          <w:u w:val="double"/>
        </w:rPr>
        <w:t>(i) one or more swap, option or other financially-settled derivative transactions, which transactions will be evidenced by one or more swap agreements, confirmations and/or master agreements; and</w:t>
      </w:r>
    </w:p>
    <w:p>
      <w:pPr>
        <w:pStyle w:val="BodyTextFirstIndent"/>
        <w:widowControl/>
        <w:rPr>
          <w:b/>
          <w:u w:val="double"/>
        </w:rPr>
      </w:pPr>
      <w:r>
        <w:rPr>
          <w:b/>
          <w:u w:val="double"/>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BodyTextFirstIndent"/>
        <w:widowControl/>
        <w:rPr>
          <w:b/>
          <w:u w:val="double"/>
        </w:rPr>
      </w:pPr>
      <w:r>
        <w:rPr>
          <w:b/>
          <w:u w:val="double"/>
        </w:rPr>
        <w:t xml:space="preserve"> </w:t>
      </w:r>
      <w:r>
        <w:rPr>
          <w:b/>
          <w:u w:val="double"/>
        </w:rPr>
        <w:t>WHEREAS, Guarantor will directly or indirectly benefit from the transactions entered into between ENA and Counterparty; and</w:t>
      </w:r>
    </w:p>
    <w:p>
      <w:pPr>
        <w:pStyle w:val="BodyTextFirstIndent"/>
        <w:widowControl/>
        <w:rPr>
          <w:b/>
          <w:u w:val="double"/>
        </w:rPr>
      </w:pPr>
      <w:r>
        <w:rPr>
          <w:b/>
          <w:u w:val="double"/>
        </w:rPr>
        <w:t>WHEREAS, Guarantor desires to amend and restate that certain Guaranty dated May 31, 2000.</w:t>
      </w:r>
    </w:p>
    <w:p>
      <w:pPr>
        <w:pStyle w:val="BodyTextFirstIndent"/>
        <w:widowControl/>
        <w:rPr>
          <w:b/>
          <w:u w:val="double"/>
        </w:rPr>
      </w:pPr>
      <w:r>
        <w:rPr>
          <w:b/>
          <w:u w:val="double"/>
        </w:rPr>
        <w:t>NOW THEREFORE, in consideration of ENA entering into the Contract, Guarantor hereby covenants and agrees as follows:</w:t>
      </w:r>
    </w:p>
    <w:p>
      <w:pPr>
        <w:pStyle w:val="BodyTextFirstIndent"/>
        <w:widowControl/>
        <w:rPr>
          <w:b/>
          <w:u w:val="double"/>
        </w:rPr>
      </w:pPr>
      <w:r>
        <w:rPr>
          <w:b/>
          <w:u w:val="double"/>
        </w:rPr>
        <w:t>1.  GUARANTY.  Subject to the provisions hereof, Guarantor hereby irrevocably and unconditionally guarantees the timely payment when due of the obligations of Counterparty (the “Obligations”) to ENA under the Contract.  This Guaranty shall constitute a guarantee of payment and not of collection.  The liability of Guarantor under the Guaranty shall be subject to the following:</w:t>
      </w:r>
    </w:p>
    <w:p>
      <w:pPr>
        <w:pStyle w:val="BodyTextIndent3"/>
        <w:widowControl/>
        <w:spacing w:before="240" w:after="240"/>
        <w:rPr>
          <w:b/>
          <w:u w:val="double"/>
        </w:rPr>
      </w:pPr>
      <w:r>
        <w:rPr>
          <w:b/>
          <w:u w:val="double"/>
        </w:rPr>
        <w:t xml:space="preserve">(a)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or costs. </w:t>
      </w:r>
    </w:p>
    <w:p>
      <w:pPr>
        <w:pStyle w:val="BodyTextIndent3"/>
        <w:widowControl/>
        <w:spacing w:before="240" w:after="240"/>
        <w:rPr>
          <w:b/>
          <w:u w:val="double"/>
        </w:rPr>
      </w:pPr>
      <w:r>
        <w:rPr>
          <w:b/>
          <w:u w:val="double"/>
        </w:rPr>
        <w:t>(b) The aggregate amount covered by this Guaranty shall not exceed U.S. $3,000,000.00.</w:t>
      </w:r>
    </w:p>
    <w:p>
      <w:pPr>
        <w:pStyle w:val="BodyTextFirstIndent"/>
        <w:widowControl/>
        <w:rPr/>
      </w:pPr>
      <w:r>
        <w:rPr>
          <w:b/>
          <w:u w:val="double"/>
        </w:rPr>
        <w:t>2.  DEMANDS AND NOTICE.  Upon the occurrence and during the continuance of an event of default or termination event under the contract,</w:t>
      </w:r>
      <w:r>
        <w:rPr>
          <w:color w:val="FF0000"/>
        </w:rPr>
        <w:t xml:space="preserve"> </w:t>
      </w:r>
      <w:r>
        <w:rPr>
          <w:b/>
          <w:u w:val="double"/>
        </w:rPr>
        <w:t>if Counterparty fails or refuses to pay any Obligations and ENA has elected to exercise its rights under this Guaranty, ENA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ENA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keepNext w:val="true"/>
        <w:widowControl/>
        <w:spacing w:lineRule="atLeast" w:line="240"/>
        <w:ind w:firstLine="720" w:end="0"/>
        <w:rPr>
          <w:b/>
          <w:u w:val="double"/>
        </w:rPr>
      </w:pPr>
      <w:r>
        <w:rPr>
          <w:b/>
          <w:u w:val="double"/>
        </w:rPr>
        <w:t>3.  REPRESENTATIONS AND WARRANTIES.  Guarantor represents and warrants that:</w:t>
      </w:r>
    </w:p>
    <w:p>
      <w:pPr>
        <w:pStyle w:val="Normal"/>
        <w:keepNext w:val="true"/>
        <w:widowControl/>
        <w:spacing w:lineRule="exact" w:line="240" w:before="240" w:after="240"/>
        <w:ind w:firstLine="630" w:start="810" w:end="0"/>
        <w:rPr>
          <w:b/>
          <w:u w:val="double"/>
        </w:rPr>
      </w:pPr>
      <w:r>
        <w:rPr>
          <w:b/>
          <w:u w:val="double"/>
        </w:rPr>
        <w:t xml:space="preserve">(a)  it is a corporation duly organized and validly existing under the laws of the State of Delaware and has the requisite power and authority to execute, deliver and carry out the terms and provisions of the Guaranty; </w:t>
      </w:r>
    </w:p>
    <w:p>
      <w:pPr>
        <w:pStyle w:val="Normal"/>
        <w:widowControl/>
        <w:spacing w:lineRule="exact" w:line="240" w:before="240" w:after="240"/>
        <w:ind w:firstLine="630" w:start="810" w:end="0"/>
        <w:rPr>
          <w:b/>
          <w:u w:val="double"/>
        </w:rPr>
      </w:pPr>
      <w:r>
        <w:rPr>
          <w:b/>
          <w:u w:val="doub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240"/>
        <w:ind w:firstLine="720" w:start="720" w:end="0"/>
        <w:rPr>
          <w:b/>
          <w:u w:val="double"/>
        </w:rPr>
      </w:pPr>
      <w:r>
        <w:rPr>
          <w:b/>
          <w:u w:val="doub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FirstIndent"/>
        <w:widowControl/>
        <w:rPr>
          <w:b/>
          <w:u w:val="double"/>
        </w:rPr>
      </w:pPr>
      <w:r>
        <w:rPr>
          <w:b/>
          <w:u w:val="double"/>
        </w:rPr>
        <w:t xml:space="preserve">4.  SETOFFS AND COUNTERCLAIMS.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  The Guarantor’s obligations hereunder shall not be affected by the existence, validity, enforceability, perfection, or extent of any collateral therefor or by any other circumstance relating to the Obligations that might otherwise constitute a legal or equitable discharge or defense to the Guarantor not available to Counterparty. </w:t>
      </w:r>
    </w:p>
    <w:p>
      <w:pPr>
        <w:pStyle w:val="BodyTextFirstIndent"/>
        <w:widowControl/>
        <w:rPr>
          <w:b/>
          <w:u w:val="double"/>
        </w:rPr>
      </w:pPr>
      <w:r>
        <w:rPr>
          <w:b/>
          <w:u w:val="double"/>
        </w:rPr>
        <w:t>5.  AMENDMENT OF GUARANTY.  No term or provision of this Guaranty shall be amended, modified, altered, waived or supplemented except in a writing signed by Guarantor and ENA.</w:t>
      </w:r>
    </w:p>
    <w:p>
      <w:pPr>
        <w:pStyle w:val="BodyTextFirstIndent"/>
        <w:widowControl/>
        <w:rPr>
          <w:b/>
          <w:u w:val="double"/>
        </w:rPr>
      </w:pPr>
      <w:r>
        <w:rPr>
          <w:b/>
          <w:u w:val="double"/>
        </w:rPr>
        <w:t>6.  WAIVERS.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ENA seek enforcement of any performance against Counterparty or any other person, prior to any action against Guarantor under the terms hereof.</w:t>
      </w:r>
    </w:p>
    <w:p>
      <w:pPr>
        <w:pStyle w:val="BodyTextFirstIndent"/>
        <w:widowControl/>
        <w:rPr>
          <w:b/>
          <w:u w:val="double"/>
        </w:rPr>
      </w:pPr>
      <w:r>
        <w:rPr>
          <w:b/>
          <w:u w:val="double"/>
        </w:rPr>
        <w:t>Except as to applicable statutes of limitation, no delay of ENA in the exercise of, or failure to exercise, any rights hereunder shall operate as a waiver of such rights, a waiver of any other rights or a release of Guarantor from any obligations hereunder.</w:t>
      </w:r>
    </w:p>
    <w:p>
      <w:pPr>
        <w:pStyle w:val="BodyTextFirstIndent"/>
        <w:widowControl/>
        <w:rPr>
          <w:b/>
          <w:u w:val="double"/>
        </w:rPr>
      </w:pPr>
      <w:r>
        <w:rPr>
          <w:b/>
          <w:u w:val="double"/>
        </w:rPr>
        <w:t>Guarantor consents to the renewal, compromise, extension, acceleration or other changes in the time of payment of or other changes in the terms of the Obligations, or any part thereof or any changes or modifications to the terms of the Contract.</w:t>
      </w:r>
    </w:p>
    <w:p>
      <w:pPr>
        <w:pStyle w:val="BodyTextFirstIndent"/>
        <w:widowControl/>
        <w:rPr>
          <w:b/>
          <w:u w:val="double"/>
        </w:rPr>
      </w:pPr>
      <w:r>
        <w:rPr>
          <w:b/>
          <w:u w:val="double"/>
        </w:rPr>
        <w:t>Guarantor may terminate this Guaranty by providing written notice of such termination to ENA and upon the effectiveness of such termination, Guarantor shall have no further liability hereunder, except as provided in the last sentence of this paragraph.  No such termination shall be effective until five (5) Business Days after receipt by ENA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  ENA shall not be obligated to file any claim relating to the Obligations in the event that Counterparty becomes subject to a bankruptcy, reorganization or similar proceeding, and the failure of ENA to so file shall not affect the Guarantor’s obligations hereunder.  In the event that any payment to ENA in respect to any Obligations is rescinded or must otherwise be returned for any reason whatsoever, the Guarantor shall remain liable hereunder with respect to such Obligations as if such payment had not been made.</w:t>
      </w:r>
    </w:p>
    <w:p>
      <w:pPr>
        <w:pStyle w:val="BodyTextFirstIndent"/>
        <w:widowControl/>
        <w:rPr/>
      </w:pPr>
      <w:r>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9558" w:type="dxa"/>
        <w:jc w:val="start"/>
        <w:tblInd w:w="0" w:type="dxa"/>
        <w:tblLayout w:type="fixed"/>
        <w:tblCellMar>
          <w:top w:w="0" w:type="dxa"/>
          <w:start w:w="108" w:type="dxa"/>
          <w:bottom w:w="0" w:type="dxa"/>
          <w:end w:w="108" w:type="dxa"/>
        </w:tblCellMar>
      </w:tblPr>
      <w:tblGrid>
        <w:gridCol w:w="1728"/>
        <w:gridCol w:w="3240"/>
        <w:gridCol w:w="1530"/>
        <w:gridCol w:w="3060"/>
      </w:tblGrid>
      <w:tr>
        <w:trPr>
          <w:trHeight w:val="240" w:hRule="exact"/>
        </w:trPr>
        <w:tc>
          <w:tcPr>
            <w:tcW w:w="1728" w:type="dxa"/>
            <w:tcBorders/>
          </w:tcPr>
          <w:p>
            <w:pPr>
              <w:pStyle w:val="Normal"/>
              <w:keepNext w:val="true"/>
              <w:keepLines/>
              <w:widowControl/>
              <w:spacing w:lineRule="atLeast" w:line="240" w:before="0" w:after="240"/>
              <w:rPr>
                <w:b/>
                <w:color w:val="000000"/>
                <w:u w:val="double"/>
              </w:rPr>
            </w:pPr>
            <w:r>
              <w:rPr>
                <w:b/>
                <w:color w:val="000000"/>
                <w:u w:val="double"/>
              </w:rPr>
              <w:t>To Guarantor:</w:t>
            </w:r>
          </w:p>
        </w:tc>
        <w:tc>
          <w:tcPr>
            <w:tcW w:w="3240" w:type="dxa"/>
            <w:tcBorders/>
          </w:tcPr>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Midcoast Energy Resources, Inc.</w:t>
            </w:r>
          </w:p>
        </w:tc>
        <w:tc>
          <w:tcPr>
            <w:tcW w:w="1530" w:type="dxa"/>
            <w:tcBorders/>
          </w:tcPr>
          <w:p>
            <w:pPr>
              <w:pStyle w:val="Normal"/>
              <w:keepNext w:val="true"/>
              <w:keepLines/>
              <w:widowControl/>
              <w:spacing w:lineRule="atLeast" w:line="240" w:before="0" w:after="240"/>
              <w:rPr>
                <w:b/>
                <w:color w:val="000000"/>
                <w:u w:val="double"/>
              </w:rPr>
            </w:pPr>
            <w:r>
              <w:rPr>
                <w:b/>
                <w:color w:val="000000"/>
                <w:u w:val="double"/>
              </w:rPr>
              <w:t>To ENA:</w:t>
            </w:r>
          </w:p>
        </w:tc>
        <w:tc>
          <w:tcPr>
            <w:tcW w:w="3060" w:type="dxa"/>
            <w:tcBorders/>
          </w:tcPr>
          <w:p>
            <w:pPr>
              <w:pStyle w:val="Normal"/>
              <w:keepNext w:val="true"/>
              <w:keepLines/>
              <w:widowControl/>
              <w:tabs>
                <w:tab w:val="clear" w:pos="720"/>
                <w:tab w:val="right" w:pos="2988" w:leader="none"/>
              </w:tabs>
              <w:spacing w:lineRule="atLeast" w:line="240" w:before="0" w:after="240"/>
              <w:rPr>
                <w:b/>
                <w:color w:val="000000"/>
                <w:u w:val="double"/>
              </w:rPr>
            </w:pPr>
            <w:r>
              <w:rPr>
                <w:b/>
                <w:color w:val="000000"/>
                <w:u w:val="double"/>
              </w:rPr>
              <w:t>Enron North America Corp.</w:t>
            </w:r>
          </w:p>
        </w:tc>
      </w:tr>
      <w:tr>
        <w:trPr>
          <w:trHeight w:val="240" w:hRule="exact"/>
        </w:trPr>
        <w:tc>
          <w:tcPr>
            <w:tcW w:w="1728"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240" w:type="dxa"/>
            <w:tcBorders/>
          </w:tcPr>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___________________</w:t>
            </w:r>
          </w:p>
        </w:tc>
        <w:tc>
          <w:tcPr>
            <w:tcW w:w="1530"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060" w:type="dxa"/>
            <w:tcBorders/>
          </w:tcPr>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1400 Smith Street</w:t>
            </w:r>
          </w:p>
        </w:tc>
      </w:tr>
      <w:tr>
        <w:trPr>
          <w:trHeight w:val="240" w:hRule="exact"/>
        </w:trPr>
        <w:tc>
          <w:tcPr>
            <w:tcW w:w="1728"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240" w:type="dxa"/>
            <w:tcBorders/>
          </w:tcPr>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___________________</w:t>
            </w:r>
          </w:p>
        </w:tc>
        <w:tc>
          <w:tcPr>
            <w:tcW w:w="1530"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060" w:type="dxa"/>
            <w:tcBorders/>
          </w:tcPr>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Houston, TX 77002</w:t>
            </w:r>
          </w:p>
        </w:tc>
      </w:tr>
      <w:tr>
        <w:trPr>
          <w:trHeight w:val="240" w:hRule="exact"/>
        </w:trPr>
        <w:tc>
          <w:tcPr>
            <w:tcW w:w="1728"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240" w:type="dxa"/>
            <w:tcBorders/>
          </w:tcPr>
          <w:p>
            <w:pPr>
              <w:pStyle w:val="Normal"/>
              <w:keepNext w:val="true"/>
              <w:keepLines/>
              <w:widowControl/>
              <w:tabs>
                <w:tab w:val="clear" w:pos="720"/>
                <w:tab w:val="left" w:pos="3132" w:leader="none"/>
              </w:tabs>
              <w:spacing w:lineRule="atLeast" w:line="240"/>
              <w:rPr>
                <w:b/>
                <w:color w:val="000000"/>
                <w:u w:val="double"/>
              </w:rPr>
            </w:pPr>
            <w:r>
              <w:rPr>
                <w:b/>
                <w:color w:val="000000"/>
                <w:u w:val="double"/>
              </w:rPr>
              <w:t>Attn: ______________</w:t>
            </w:r>
          </w:p>
          <w:p>
            <w:pPr>
              <w:pStyle w:val="Normal"/>
              <w:keepNext w:val="true"/>
              <w:keepLines/>
              <w:widowControl/>
              <w:tabs>
                <w:tab w:val="clear" w:pos="720"/>
                <w:tab w:val="left" w:pos="3132" w:leader="none"/>
              </w:tabs>
              <w:spacing w:lineRule="atLeast" w:line="240" w:before="0" w:after="240"/>
              <w:rPr>
                <w:b/>
                <w:color w:val="000000"/>
                <w:u w:val="double"/>
              </w:rPr>
            </w:pPr>
            <w:r>
              <w:rPr>
                <w:b/>
                <w:color w:val="000000"/>
                <w:u w:val="double"/>
              </w:rPr>
              <w:t>Facsimile No.:  (___) _______</w:t>
            </w:r>
          </w:p>
        </w:tc>
        <w:tc>
          <w:tcPr>
            <w:tcW w:w="1530"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060" w:type="dxa"/>
            <w:tcBorders/>
          </w:tcPr>
          <w:p>
            <w:pPr>
              <w:pStyle w:val="Normal"/>
              <w:keepNext w:val="true"/>
              <w:keepLines/>
              <w:widowControl/>
              <w:tabs>
                <w:tab w:val="clear" w:pos="720"/>
                <w:tab w:val="right" w:pos="2988" w:leader="none"/>
              </w:tabs>
              <w:spacing w:lineRule="atLeast" w:line="240" w:before="0" w:after="240"/>
              <w:ind w:hanging="632" w:start="632" w:end="0"/>
              <w:jc w:val="start"/>
              <w:rPr>
                <w:b/>
                <w:color w:val="000000"/>
                <w:u w:val="double"/>
              </w:rPr>
            </w:pPr>
            <w:r>
              <w:rPr>
                <w:b/>
                <w:color w:val="000000"/>
                <w:u w:val="double"/>
              </w:rPr>
              <w:t>Attn.:  Director, Documentation Department</w:t>
            </w:r>
          </w:p>
        </w:tc>
      </w:tr>
      <w:tr>
        <w:trPr>
          <w:trHeight w:val="240" w:hRule="exact"/>
        </w:trPr>
        <w:tc>
          <w:tcPr>
            <w:tcW w:w="1728"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240" w:type="dxa"/>
            <w:tcBorders/>
          </w:tcPr>
          <w:p>
            <w:pPr>
              <w:pStyle w:val="Normal"/>
              <w:keepNext w:val="true"/>
              <w:keepLines/>
              <w:widowControl/>
              <w:tabs>
                <w:tab w:val="clear" w:pos="720"/>
                <w:tab w:val="left" w:pos="3132" w:leader="none"/>
              </w:tabs>
              <w:snapToGrid w:val="false"/>
              <w:spacing w:lineRule="atLeast" w:line="240" w:before="0" w:after="240"/>
              <w:rPr>
                <w:b/>
                <w:color w:val="000000"/>
                <w:u w:val="double"/>
              </w:rPr>
            </w:pPr>
            <w:r>
              <w:rPr>
                <w:b/>
                <w:color w:val="000000"/>
                <w:u w:val="double"/>
              </w:rPr>
            </w:r>
          </w:p>
        </w:tc>
        <w:tc>
          <w:tcPr>
            <w:tcW w:w="1530" w:type="dxa"/>
            <w:tcBorders/>
          </w:tcPr>
          <w:p>
            <w:pPr>
              <w:pStyle w:val="Normal"/>
              <w:keepNext w:val="true"/>
              <w:keepLines/>
              <w:widowControl/>
              <w:snapToGrid w:val="false"/>
              <w:spacing w:lineRule="atLeast" w:line="240" w:before="0" w:after="240"/>
              <w:rPr>
                <w:b/>
                <w:color w:val="000000"/>
                <w:u w:val="double"/>
              </w:rPr>
            </w:pPr>
            <w:r>
              <w:rPr>
                <w:b/>
                <w:color w:val="000000"/>
                <w:u w:val="double"/>
              </w:rPr>
            </w:r>
          </w:p>
        </w:tc>
        <w:tc>
          <w:tcPr>
            <w:tcW w:w="3060" w:type="dxa"/>
            <w:tcBorders/>
          </w:tcPr>
          <w:p>
            <w:pPr>
              <w:pStyle w:val="Normal"/>
              <w:keepNext w:val="true"/>
              <w:keepLines/>
              <w:widowControl/>
              <w:tabs>
                <w:tab w:val="clear" w:pos="720"/>
                <w:tab w:val="right" w:pos="2988" w:leader="none"/>
              </w:tabs>
              <w:spacing w:lineRule="atLeast" w:line="240" w:before="0" w:after="240"/>
              <w:rPr>
                <w:b/>
                <w:color w:val="000000"/>
                <w:u w:val="double"/>
              </w:rPr>
            </w:pPr>
            <w:r>
              <w:rPr>
                <w:b/>
                <w:color w:val="000000"/>
                <w:u w:val="double"/>
              </w:rPr>
              <w:t>Fax No.: (713) 646-4816</w:t>
            </w:r>
          </w:p>
        </w:tc>
      </w:tr>
    </w:tbl>
    <w:p>
      <w:pPr>
        <w:pStyle w:val="Normal"/>
        <w:keepNext w:val="true"/>
        <w:keepLines/>
        <w:widowControl/>
        <w:spacing w:lineRule="exact" w:line="240"/>
        <w:rPr>
          <w:b/>
          <w:u w:val="double"/>
        </w:rPr>
      </w:pPr>
      <w:r>
        <w:rPr>
          <w:b/>
          <w:u w:val="double"/>
        </w:rPr>
      </w:r>
    </w:p>
    <w:p>
      <w:pPr>
        <w:pStyle w:val="BodyTextFirstIndent"/>
        <w:widowControl/>
        <w:rPr>
          <w:b/>
          <w:u w:val="double"/>
        </w:rPr>
      </w:pPr>
      <w:r>
        <w:rPr>
          <w:b/>
          <w:u w:val="doub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FirstIndent"/>
        <w:widowControl/>
        <w:rPr>
          <w:b/>
          <w:u w:val="double"/>
        </w:rPr>
      </w:pPr>
      <w:r>
        <w:rPr>
          <w:b/>
          <w:u w:val="double"/>
        </w:rPr>
        <w: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ENA, its successors and assigns.  The Guaranty embodies the entire agreement and understanding between Guarantor and ENA and supersedes all prior agreements and understandings relating to the subject matter hereof.  The headings in this Guaranty are for purposes of reference only, and shall not affect the meaning hereof.</w:t>
      </w:r>
    </w:p>
    <w:p>
      <w:pPr>
        <w:pStyle w:val="BodyTextFirstIndent"/>
        <w:widowControl/>
        <w:rPr>
          <w:b/>
          <w:u w:val="double"/>
        </w:rPr>
      </w:pPr>
      <w:r>
        <w:rPr>
          <w:b/>
          <w:u w:val="double"/>
        </w:rPr>
        <w:t>9.  EXPENSES.  The Guarantor agrees to pay on demand all fees and out-of-pocket expenses (including the reasonable fees and expenses of ENA’s counsel) in any way relating to the enforcement or protection of the rights of ENA hereunder, provided, that the Guarantor shall not be liable for any expenses of ENA if no payment under this Guaranty is due.</w:t>
      </w:r>
    </w:p>
    <w:p>
      <w:pPr>
        <w:pStyle w:val="BodyTextFirstIndent"/>
        <w:widowControl/>
        <w:rPr>
          <w:b/>
          <w:u w:val="double"/>
        </w:rPr>
      </w:pPr>
      <w:r>
        <w:rPr>
          <w:b/>
          <w:u w:val="double"/>
        </w:rPr>
        <w:t>10.  ASSIGNMENT.  Guarantor may not assign this Guaranty or any rights, interests or obligations hereunder to any other person (except by operation of law) without the prior written consent of ENA.</w:t>
      </w:r>
      <w:r>
        <w:br w:type="page"/>
      </w:r>
    </w:p>
    <w:p>
      <w:pPr>
        <w:pStyle w:val="BodyTextFirstIndent"/>
        <w:widowControl/>
        <w:rPr>
          <w:b/>
          <w:u w:val="double"/>
        </w:rPr>
      </w:pPr>
      <w:r>
        <w:rPr>
          <w:b/>
          <w:u w:val="double"/>
        </w:rPr>
        <w:t>IN WITNESS WHEREOF, the Guarantor has executed this Guaranty on _______________, 2000, but it is effective as of the date first above written.</w:t>
      </w:r>
    </w:p>
    <w:p>
      <w:pPr>
        <w:pStyle w:val="Signature"/>
        <w:widowControl/>
        <w:rPr>
          <w:b/>
          <w:u w:val="double"/>
        </w:rPr>
      </w:pPr>
      <w:r>
        <w:rPr>
          <w:b/>
          <w:u w:val="double"/>
        </w:rPr>
      </w:r>
    </w:p>
    <w:p>
      <w:pPr>
        <w:pStyle w:val="Signature"/>
        <w:widowControl/>
        <w:rPr>
          <w:b/>
          <w:u w:val="double"/>
        </w:rPr>
      </w:pPr>
      <w:r>
        <w:rPr>
          <w:b/>
          <w:u w:val="double"/>
        </w:rPr>
        <w:t>SEMPRA ENERGY CORP.</w:t>
      </w:r>
    </w:p>
    <w:p>
      <w:pPr>
        <w:pStyle w:val="Signature"/>
        <w:widowControl/>
        <w:rPr>
          <w:b/>
          <w:u w:val="double"/>
        </w:rPr>
      </w:pPr>
      <w:r>
        <w:rPr>
          <w:b/>
          <w:u w:val="double"/>
        </w:rPr>
      </w:r>
    </w:p>
    <w:p>
      <w:pPr>
        <w:pStyle w:val="Signature"/>
        <w:widowControl/>
        <w:rPr>
          <w:b/>
          <w:u w:val="double"/>
        </w:rPr>
      </w:pPr>
      <w:r>
        <w:rPr>
          <w:b/>
          <w:u w:val="double"/>
        </w:rPr>
      </w:r>
    </w:p>
    <w:p>
      <w:pPr>
        <w:pStyle w:val="Signature"/>
        <w:widowControl/>
        <w:rPr>
          <w:b/>
          <w:u w:val="double"/>
        </w:rPr>
      </w:pPr>
      <w:r>
        <w:rPr>
          <w:u w:val="single"/>
        </w:rPr>
        <w:tab/>
        <w:tab/>
        <w:tab/>
        <w:tab/>
        <w:tab/>
        <w:tab/>
      </w:r>
    </w:p>
    <w:p>
      <w:pPr>
        <w:pStyle w:val="Signature"/>
        <w:widowControl/>
        <w:rPr>
          <w:b/>
          <w:u w:val="double"/>
        </w:rPr>
      </w:pPr>
      <w:r>
        <w:rPr>
          <w:b/>
          <w:u w:val="double"/>
        </w:rPr>
        <w:t>By:</w:t>
      </w:r>
    </w:p>
    <w:p>
      <w:pPr>
        <w:pStyle w:val="Signature"/>
        <w:widowControl/>
        <w:rPr>
          <w:b/>
          <w:u w:val="double"/>
        </w:rPr>
      </w:pPr>
      <w:r>
        <w:rPr>
          <w:b/>
          <w:u w:val="double"/>
        </w:rPr>
        <w:t>Name:</w:t>
      </w:r>
    </w:p>
    <w:p>
      <w:pPr>
        <w:pStyle w:val="Signature"/>
        <w:widowControl/>
        <w:rPr>
          <w:b/>
          <w:u w:val="double"/>
        </w:rPr>
      </w:pPr>
      <w:r>
        <w:rPr>
          <w:b/>
          <w:u w:val="double"/>
        </w:rPr>
        <w:t>Title:</w:t>
      </w:r>
    </w:p>
    <w:p>
      <w:pPr>
        <w:pStyle w:val="Signature"/>
        <w:widowControl/>
        <w:rPr/>
      </w:pPr>
      <w:r>
        <w:rPr/>
      </w:r>
    </w:p>
    <w:p>
      <w:pPr>
        <w:pStyle w:val="Signature"/>
        <w:widowControl/>
        <w:rPr/>
      </w:pPr>
      <w:r>
        <w:rPr/>
      </w:r>
    </w:p>
    <w:p>
      <w:pPr>
        <w:pStyle w:val="Signature"/>
        <w:widowControl/>
        <w:rPr/>
      </w:pPr>
      <w:r>
        <w:rPr/>
        <w:t>------------------ COMPARISON OF HEADERS ------------------</w:t>
      </w:r>
    </w:p>
    <w:p>
      <w:pPr>
        <w:pStyle w:val="Signature"/>
        <w:widowControl/>
        <w:rPr/>
      </w:pPr>
      <w:r>
        <w:rPr/>
      </w:r>
    </w:p>
    <w:p>
      <w:pPr>
        <w:pStyle w:val="Signature"/>
        <w:widowControl/>
        <w:rPr/>
      </w:pPr>
      <w:r>
        <w:rPr/>
        <w:t>-HEADER 1-</w:t>
      </w:r>
    </w:p>
    <w:p>
      <w:pPr>
        <w:pStyle w:val="Signature"/>
        <w:widowControl/>
        <w:rPr>
          <w:strike/>
        </w:rPr>
      </w:pPr>
      <w:r>
        <w:rPr>
          <w:strike/>
        </w:rPr>
      </w:r>
    </w:p>
    <w:p>
      <w:pPr>
        <w:pStyle w:val="Signature"/>
        <w:widowControl/>
        <w:rPr>
          <w:strike/>
        </w:rPr>
      </w:pPr>
      <w:r>
        <w:rPr>
          <w:strike/>
        </w:rPr>
      </w:r>
    </w:p>
    <w:p>
      <w:pPr>
        <w:pStyle w:val="Signature"/>
        <w:widowControl/>
        <w:rPr>
          <w:strike/>
        </w:rPr>
      </w:pPr>
      <w:r>
        <w:rPr>
          <w:strike/>
        </w:rPr>
        <w:t>-HEADER 2-</w:t>
      </w:r>
    </w:p>
    <w:p>
      <w:pPr>
        <w:pStyle w:val="Signature"/>
        <w:widowControl/>
        <w:rPr>
          <w:strike/>
        </w:rPr>
      </w:pPr>
      <w:r>
        <w:rPr>
          <w:strike/>
        </w:rPr>
        <w:t>Header Discontinued</w:t>
      </w:r>
    </w:p>
    <w:p>
      <w:pPr>
        <w:pStyle w:val="Signature"/>
        <w:widowControl/>
        <w:rPr>
          <w:strike/>
        </w:rPr>
      </w:pPr>
      <w:r>
        <w:rPr>
          <w:strike/>
        </w:rPr>
      </w:r>
    </w:p>
    <w:p>
      <w:pPr>
        <w:pStyle w:val="Signature"/>
        <w:widowControl/>
        <w:rPr>
          <w:strike/>
        </w:rPr>
      </w:pPr>
      <w:r>
        <w:rPr>
          <w:strike/>
        </w:rPr>
        <w:t>-HEADER 3-</w:t>
      </w:r>
    </w:p>
    <w:p>
      <w:pPr>
        <w:pStyle w:val="Signature"/>
        <w:widowControl/>
        <w:rPr>
          <w:strike/>
        </w:rPr>
      </w:pPr>
      <w:r>
        <w:rPr>
          <w:strike/>
        </w:rPr>
        <w:t>Header Discontinued</w:t>
      </w:r>
    </w:p>
    <w:p>
      <w:pPr>
        <w:pStyle w:val="Signature"/>
        <w:widowControl/>
        <w:rPr>
          <w:strike/>
        </w:rPr>
      </w:pPr>
      <w:r>
        <w:rPr>
          <w:strike/>
        </w:rPr>
      </w:r>
    </w:p>
    <w:p>
      <w:pPr>
        <w:pStyle w:val="Signature"/>
        <w:widowControl/>
        <w:rPr/>
      </w:pPr>
      <w:r>
        <w:rPr/>
      </w:r>
    </w:p>
    <w:p>
      <w:pPr>
        <w:pStyle w:val="Signature"/>
        <w:widowControl/>
        <w:rPr/>
      </w:pPr>
      <w:r>
        <w:rPr/>
        <w:t>------------------ COMPARISON OF FOOTERS ------------------</w:t>
      </w:r>
    </w:p>
    <w:p>
      <w:pPr>
        <w:pStyle w:val="Signature"/>
        <w:widowControl/>
        <w:rPr/>
      </w:pPr>
      <w:r>
        <w:rPr/>
        <w:t>581555-</w:t>
      </w:r>
      <w:r>
        <w:rPr>
          <w:strike/>
        </w:rPr>
        <w:t>1</w:t>
      </w:r>
      <w:r>
        <w:rPr/>
        <w:t xml:space="preserve"> </w:t>
      </w:r>
      <w:r>
        <w:rPr>
          <w:b/>
          <w:u w:val="double"/>
        </w:rPr>
        <w:t>2</w:t>
      </w:r>
    </w:p>
    <w:p>
      <w:pPr>
        <w:pStyle w:val="Signature"/>
        <w:widowControl/>
        <w:rPr>
          <w:strike/>
        </w:rPr>
      </w:pPr>
      <w:r>
        <w:rPr>
          <w:strike/>
        </w:rPr>
      </w:r>
    </w:p>
    <w:p>
      <w:pPr>
        <w:pStyle w:val="Signature"/>
        <w:widowControl/>
        <w:rPr>
          <w:strike/>
        </w:rPr>
      </w:pPr>
      <w:r>
        <w:rPr>
          <w:strike/>
        </w:rPr>
      </w:r>
    </w:p>
    <w:p>
      <w:pPr>
        <w:pStyle w:val="Signature"/>
        <w:widowControl/>
        <w:rPr>
          <w:strike/>
        </w:rPr>
      </w:pPr>
      <w:r>
        <w:rPr>
          <w:strike/>
        </w:rPr>
        <w:t>-FOOTER 1-</w:t>
      </w:r>
    </w:p>
    <w:p>
      <w:pPr>
        <w:pStyle w:val="Signature"/>
        <w:widowControl/>
        <w:rPr>
          <w:strike/>
        </w:rPr>
      </w:pPr>
      <w:r>
        <w:rPr>
          <w:strike/>
        </w:rPr>
        <w:t>581555-1</w:t>
      </w:r>
    </w:p>
    <w:p>
      <w:pPr>
        <w:pStyle w:val="Signature"/>
        <w:widowControl/>
        <w:rPr/>
      </w:pPr>
      <w:r>
        <w:rPr/>
        <w:t>E</w:t>
      </w:r>
    </w:p>
    <w:p>
      <w:pPr>
        <w:pStyle w:val="Signature"/>
        <w:widowControl/>
        <w:rPr>
          <w:strike/>
        </w:rPr>
      </w:pPr>
      <w:r>
        <w:rPr>
          <w:strike/>
        </w:rPr>
      </w:r>
    </w:p>
    <w:p>
      <w:pPr>
        <w:pStyle w:val="Signature"/>
        <w:widowControl/>
        <w:rPr>
          <w:strike/>
        </w:rPr>
      </w:pPr>
      <w:r>
        <w:rPr>
          <w:strike/>
        </w:rPr>
        <w:t>-FOOTER 2-</w:t>
      </w:r>
    </w:p>
    <w:p>
      <w:pPr>
        <w:pStyle w:val="Signature"/>
        <w:widowControl/>
        <w:rPr>
          <w:strike/>
        </w:rPr>
      </w:pPr>
      <w:r>
        <w:rPr>
          <w:strike/>
        </w:rPr>
        <w:t>580269-2</w:t>
      </w:r>
    </w:p>
    <w:p>
      <w:pPr>
        <w:pStyle w:val="Signature"/>
        <w:widowControl/>
        <w:rPr/>
      </w:pPr>
      <w:r>
        <w:rPr/>
        <w:t xml:space="preserve">This redlined draft, generated by CompareRite (TM) - The Instant Redliner, shows the differences between - </w:t>
      </w:r>
    </w:p>
    <w:p>
      <w:pPr>
        <w:pStyle w:val="Signature"/>
        <w:widowControl/>
        <w:rPr/>
      </w:pPr>
      <w:r>
        <w:rPr/>
        <w:t>original document   : C:\WINDOWS\TEMP\HOU_581555_1</w:t>
      </w:r>
    </w:p>
    <w:p>
      <w:pPr>
        <w:pStyle w:val="Signature"/>
        <w:widowControl/>
        <w:rPr/>
      </w:pPr>
      <w:r>
        <w:rPr/>
        <w:t>and revised document: C:\WINDOWS\TEMP\HOU_581555.2</w:t>
      </w:r>
    </w:p>
    <w:p>
      <w:pPr>
        <w:pStyle w:val="Signature"/>
        <w:widowControl/>
        <w:rPr/>
      </w:pPr>
      <w:r>
        <w:rPr/>
      </w:r>
    </w:p>
    <w:p>
      <w:pPr>
        <w:pStyle w:val="Signature"/>
        <w:widowControl/>
        <w:rPr/>
      </w:pPr>
      <w:r>
        <w:rPr/>
        <w:t>CompareRite found   20 change(s) in the text</w:t>
      </w:r>
    </w:p>
    <w:p>
      <w:pPr>
        <w:pStyle w:val="Signature"/>
        <w:widowControl/>
        <w:rPr/>
      </w:pPr>
      <w:r>
        <w:rPr/>
        <w:t>CompareRite found    4 change(s) in the notes</w:t>
      </w:r>
    </w:p>
    <w:p>
      <w:pPr>
        <w:pStyle w:val="Signature"/>
        <w:widowControl/>
        <w:rPr/>
      </w:pPr>
      <w:r>
        <w:rPr/>
      </w:r>
    </w:p>
    <w:p>
      <w:pPr>
        <w:pStyle w:val="Signature"/>
        <w:widowControl/>
        <w:rPr/>
      </w:pPr>
      <w:r>
        <w:rPr/>
        <w:t xml:space="preserve">Deletions appear as Overstrike text </w:t>
      </w:r>
    </w:p>
    <w:p>
      <w:pPr>
        <w:pStyle w:val="Signature"/>
        <w:widowControl/>
        <w:rPr/>
      </w:pPr>
      <w:r>
        <w:rPr/>
        <w:t xml:space="preserve">Additions appear as Bold+Dbl Underline text </w:t>
      </w:r>
    </w:p>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581585-1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b/>
      <w:i/>
      <w:sz w:val="2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720" w:end="0"/>
      <w:outlineLvl w:val="3"/>
    </w:pPr>
    <w:rPr>
      <w:b/>
      <w:sz w:val="24"/>
    </w:rPr>
  </w:style>
  <w:style w:type="paragraph" w:styleId="Heading5">
    <w:name w:val="heading 5"/>
    <w:basedOn w:val="Normal"/>
    <w:next w:val="Normal"/>
    <w:qFormat/>
    <w:pPr>
      <w:numPr>
        <w:ilvl w:val="4"/>
        <w:numId w:val="1"/>
      </w:numPr>
      <w:ind w:hanging="0" w:start="720" w:end="0"/>
      <w:outlineLvl w:val="4"/>
    </w:pPr>
    <w:rPr>
      <w:i/>
      <w:sz w:val="24"/>
    </w:rPr>
  </w:style>
  <w:style w:type="paragraph" w:styleId="Heading6">
    <w:name w:val="heading 6"/>
    <w:basedOn w:val="Normal"/>
    <w:next w:val="Normal"/>
    <w:qFormat/>
    <w:pPr>
      <w:numPr>
        <w:ilvl w:val="5"/>
        <w:numId w:val="1"/>
      </w:numPr>
      <w:outlineLvl w:val="5"/>
    </w:pPr>
    <w:rPr>
      <w:b/>
    </w:rPr>
  </w:style>
  <w:style w:type="paragraph" w:styleId="Heading7">
    <w:name w:val="heading 7"/>
    <w:basedOn w:val="Normal"/>
    <w:next w:val="Normal"/>
    <w:qFormat/>
    <w:pPr>
      <w:numPr>
        <w:ilvl w:val="6"/>
        <w:numId w:val="1"/>
      </w:numPr>
      <w:outlineLvl w:val="6"/>
    </w:pPr>
    <w:rPr>
      <w:b/>
      <w:i/>
    </w:rPr>
  </w:style>
  <w:style w:type="paragraph" w:styleId="Heading8">
    <w:name w:val="heading 8"/>
    <w:basedOn w:val="Normal"/>
    <w:next w:val="Normal"/>
    <w:qFormat/>
    <w:pPr>
      <w:numPr>
        <w:ilvl w:val="7"/>
        <w:numId w:val="1"/>
      </w:numPr>
      <w:outlineLvl w:val="7"/>
    </w:pPr>
    <w:rPr>
      <w:i/>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FirstInden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z w:val="22"/>
    </w:rPr>
  </w:style>
  <w:style w:type="paragraph" w:styleId="BodyTextIndent">
    <w:name w:val="Body Text Indent"/>
    <w:basedOn w:val="Normal"/>
    <w:pPr>
      <w:ind w:hanging="0" w:start="720" w:end="0"/>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720" w:end="0"/>
    </w:pPr>
    <w:rPr/>
  </w:style>
  <w:style w:type="paragraph" w:styleId="Signature">
    <w:name w:val="Signature"/>
    <w:basedOn w:val="Normal"/>
    <w:pPr>
      <w:keepNext w:val="true"/>
      <w:keepLines/>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2000-10-09T18:03:00Z</dcterms:created>
  <dc:creator>A&amp;K</dc:creator>
  <dc:description/>
  <dc:language>en-CA</dc:language>
  <cp:lastModifiedBy>A&amp;K</cp:lastModifiedBy>
  <cp:lastPrinted>2000-10-06T17:46:00Z</cp:lastPrinted>
  <dcterms:modified xsi:type="dcterms:W3CDTF">2000-10-09T18:03:00Z</dcterms:modified>
  <cp:revision>2</cp:revision>
  <dc:subject/>
  <dc:title>EXHIBIT A</dc:title>
</cp:coreProperties>
</file>