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pacing w:val="0"/>
        </w:rPr>
      </w:pPr>
      <w:r>
        <w:rPr>
          <w:b/>
          <w:spacing w:val="0"/>
        </w:rPr>
        <w:t>LEASE AGREEMENT</w:t>
      </w:r>
    </w:p>
    <w:p>
      <w:pPr>
        <w:pStyle w:val="Normal"/>
        <w:jc w:val="center"/>
        <w:rPr>
          <w:b/>
          <w:spacing w:val="0"/>
        </w:rPr>
      </w:pPr>
      <w:r>
        <w:rPr>
          <w:b/>
          <w:spacing w:val="0"/>
        </w:rPr>
      </w:r>
    </w:p>
    <w:p>
      <w:pPr>
        <w:pStyle w:val="Normal"/>
        <w:rPr>
          <w:spacing w:val="0"/>
        </w:rPr>
      </w:pPr>
      <w:r>
        <w:rPr>
          <w:spacing w:val="0"/>
        </w:rPr>
        <w:t>This Lease Agreement (“Lease”) is made and entered into this _______ day of September, 1999, (the “Effective Date”) by and between Black Hills Trucking, Inc. (“Owner”) and Enron Midstream Services, L.L.C. (“Lessee”).</w:t>
      </w:r>
    </w:p>
    <w:p>
      <w:pPr>
        <w:pStyle w:val="Normal"/>
        <w:rPr>
          <w:spacing w:val="0"/>
        </w:rPr>
      </w:pPr>
      <w:r>
        <w:rPr>
          <w:spacing w:val="0"/>
        </w:rPr>
      </w:r>
    </w:p>
    <w:p>
      <w:pPr>
        <w:pStyle w:val="Normal"/>
        <w:jc w:val="center"/>
        <w:rPr>
          <w:spacing w:val="0"/>
        </w:rPr>
      </w:pPr>
      <w:r>
        <w:rPr>
          <w:b/>
          <w:spacing w:val="0"/>
        </w:rPr>
        <w:t>RECITALS</w:t>
      </w:r>
    </w:p>
    <w:p>
      <w:pPr>
        <w:pStyle w:val="Normal"/>
        <w:jc w:val="center"/>
        <w:rPr>
          <w:spacing w:val="0"/>
        </w:rPr>
      </w:pPr>
      <w:r>
        <w:rPr>
          <w:spacing w:val="0"/>
        </w:rPr>
      </w:r>
    </w:p>
    <w:p>
      <w:pPr>
        <w:pStyle w:val="Normal"/>
        <w:rPr/>
      </w:pPr>
      <w:r>
        <w:rPr>
          <w:spacing w:val="0"/>
        </w:rPr>
        <w:tab/>
        <w:t xml:space="preserve">Owner owns and operates a laydown yard in </w:t>
      </w:r>
      <w:r>
        <w:rPr>
          <w:spacing w:val="0"/>
          <w:u w:val="single"/>
        </w:rPr>
        <w:tab/>
        <w:tab/>
        <w:tab/>
      </w:r>
      <w:r>
        <w:rPr>
          <w:spacing w:val="0"/>
        </w:rPr>
        <w:t>, Wyoming (the “Yard”).  Owner desires to lease to Lessee, and Lessee desires to lease from Owner, a certain portion of the Yard for Lessee’s uses associated with an equipment laydown yard for the storage of pipes, equipment and other property related thereto.</w:t>
      </w:r>
    </w:p>
    <w:p>
      <w:pPr>
        <w:pStyle w:val="Normal"/>
        <w:rPr>
          <w:spacing w:val="0"/>
        </w:rPr>
      </w:pPr>
      <w:r>
        <w:rPr>
          <w:spacing w:val="0"/>
        </w:rPr>
      </w:r>
    </w:p>
    <w:p>
      <w:pPr>
        <w:pStyle w:val="Normal"/>
        <w:rPr>
          <w:spacing w:val="0"/>
        </w:rPr>
      </w:pPr>
      <w:r>
        <w:rPr>
          <w:spacing w:val="0"/>
        </w:rPr>
        <w:tab/>
        <w:t>NOW, THEREFORE, in consideration of the covenants, agreements and rents set forth herein, which the parties agree is adequate consideration for this Lease, the parties agree as follows:</w:t>
      </w:r>
    </w:p>
    <w:p>
      <w:pPr>
        <w:pStyle w:val="Normal"/>
        <w:rPr>
          <w:spacing w:val="0"/>
        </w:rPr>
      </w:pPr>
      <w:r>
        <w:rPr>
          <w:spacing w:val="0"/>
        </w:rPr>
      </w:r>
    </w:p>
    <w:p>
      <w:pPr>
        <w:pStyle w:val="Heading1"/>
        <w:numPr>
          <w:ilvl w:val="0"/>
          <w:numId w:val="2"/>
        </w:numPr>
        <w:rPr>
          <w:sz w:val="22"/>
        </w:rPr>
      </w:pPr>
      <w:r>
        <w:rPr>
          <w:sz w:val="22"/>
          <w:u w:val="single"/>
        </w:rPr>
        <w:t>Premises</w:t>
      </w:r>
      <w:r>
        <w:rPr>
          <w:sz w:val="22"/>
        </w:rPr>
        <w:t xml:space="preserve">.  Owner hereby leases to Lessee and Lessee leases from Owner the real property and improvements which are more particularly described on </w:t>
      </w:r>
      <w:r>
        <w:rPr>
          <w:sz w:val="22"/>
          <w:u w:val="single"/>
        </w:rPr>
        <w:t>Exhibit A</w:t>
      </w:r>
      <w:r>
        <w:rPr>
          <w:sz w:val="22"/>
        </w:rPr>
        <w:t xml:space="preserve"> hereto (the “Premises”).  The Premises are located within Owner’s Yard.  The dimensions of the Premises are approximately 250 ft. by 400 ft. and the Premises are fenced off from the remainder of the Yard.  The Premises are accessible only through the front gate of the Yard.  Located on the Premises is a 40 ft. by 40 ft. building, of which Lessee shall have full use hereunder.  Lessee intends to use the Premises as an equipment laydown yard, for the storage of pipes, equipment and other property related thereto.  Owner, for itself and its successors and assigns, hereby represents and warrants, and Lessee has relied thereon in entering into this Lease, that Owner owns the Premises in fee simple, free and clear of any lien or encumbrance. Owner represents and warrants that other than this Lease, there are no leases, subleases, or agreements concerning the leasing, subleasing or occupancy of the Premises. Owner further covenants and warrants that Lessee shall have and enjoy throughout the Initial Term, any successive Renewal Term, and the Removal Period as defined herein, the quiet, peaceful, exclusive and undisturbed possession of the Premises.  Both parties shall comply with all applicable federal, state and local laws, regulations, rules and ordinances with respect to their rights and obligations under this Lease.</w:t>
      </w:r>
    </w:p>
    <w:p>
      <w:pPr>
        <w:pStyle w:val="Heading1"/>
        <w:numPr>
          <w:ilvl w:val="0"/>
          <w:numId w:val="2"/>
        </w:numPr>
        <w:rPr>
          <w:sz w:val="22"/>
        </w:rPr>
      </w:pPr>
      <w:r>
        <w:rPr>
          <w:sz w:val="22"/>
          <w:u w:val="single"/>
        </w:rPr>
        <w:t>Term</w:t>
      </w:r>
      <w:r>
        <w:rPr>
          <w:sz w:val="22"/>
        </w:rPr>
        <w:t>.</w:t>
      </w:r>
    </w:p>
    <w:p>
      <w:pPr>
        <w:pStyle w:val="Heading2"/>
        <w:numPr>
          <w:ilvl w:val="1"/>
          <w:numId w:val="2"/>
        </w:numPr>
        <w:rPr>
          <w:spacing w:val="0"/>
        </w:rPr>
      </w:pPr>
      <w:r>
        <w:rPr>
          <w:spacing w:val="0"/>
          <w:u w:val="single"/>
        </w:rPr>
        <w:t>Initial Term</w:t>
      </w:r>
      <w:r>
        <w:rPr>
          <w:spacing w:val="0"/>
        </w:rPr>
        <w:t>.  The initial term of this Lease shall commence on the Effective Date, and continue for a period of 12 months, until September __, 2000 (“Initial Term”) unless earlier terminated or renewed as provided herein.  This Initial Term may be extended pursuant to the Lessee’s rights to renew as set forth in Section 2.2 below.</w:t>
      </w:r>
    </w:p>
    <w:p>
      <w:pPr>
        <w:pStyle w:val="Heading2"/>
        <w:numPr>
          <w:ilvl w:val="1"/>
          <w:numId w:val="2"/>
        </w:numPr>
        <w:rPr>
          <w:spacing w:val="0"/>
        </w:rPr>
      </w:pPr>
      <w:r>
        <w:rPr>
          <w:spacing w:val="0"/>
          <w:u w:val="single"/>
        </w:rPr>
        <w:t>Renewal Term</w:t>
      </w:r>
      <w:r>
        <w:rPr>
          <w:spacing w:val="0"/>
        </w:rPr>
        <w:t xml:space="preserve">.  Owner hereby grants to Lessee the right to renew this Lease on a month to month basis for up to one additional 12-month period following the expiration of the Initial Term (each month of which shall be referred to as a “Renewal Term”).  Lessee shall signify its extension of the Lease for an additional month during the Renewal Term by paying the Owner the Rent (at the time and in the manner set forth in Section 3 below) on or before the first day of the month to which the extension applies.  Lessee shall give Owner written notice of its termination of this Lease during the Renewal Term at least 5 calendar days prior to the effective date of termination.  </w:t>
      </w:r>
    </w:p>
    <w:p>
      <w:pPr>
        <w:pStyle w:val="Heading2"/>
        <w:numPr>
          <w:ilvl w:val="1"/>
          <w:numId w:val="2"/>
        </w:numPr>
        <w:rPr>
          <w:spacing w:val="0"/>
        </w:rPr>
      </w:pPr>
      <w:r>
        <w:rPr>
          <w:spacing w:val="0"/>
          <w:u w:val="single"/>
        </w:rPr>
        <w:t>Removal Period</w:t>
      </w:r>
      <w:r>
        <w:rPr>
          <w:spacing w:val="0"/>
        </w:rPr>
        <w:t xml:space="preserve">.  Upon any termination of this Lease, either automatically upon expiration of the Initial Term or any successive Renewal Term, or by early termination under the terms of this Lease, Lessee shall have an additional period of 30 calendar days (the “Removal Period”) to remove all of its pipe, equipment and related property as well as the Facilities, as defined in Section 5.1 below.  </w:t>
      </w:r>
    </w:p>
    <w:p>
      <w:pPr>
        <w:pStyle w:val="Heading1"/>
        <w:numPr>
          <w:ilvl w:val="0"/>
          <w:numId w:val="2"/>
        </w:numPr>
        <w:rPr>
          <w:sz w:val="22"/>
        </w:rPr>
      </w:pPr>
      <w:r>
        <w:rPr>
          <w:sz w:val="22"/>
          <w:u w:val="single"/>
        </w:rPr>
        <w:t>Rent</w:t>
      </w:r>
      <w:r>
        <w:rPr>
          <w:sz w:val="22"/>
        </w:rPr>
        <w:t xml:space="preserve">.  For the Initial Term and any month during the Renewal Term that this Lease is in effect, Lessee shall pay to Owner rent in the amount of $800.00 per calendar month (“Rent”).  The Rent for any partial calendar months during the Initial Term or any Renewal Term shall be prorated for the number of days that this Lease is in effect for such partial month.  All Rent payments shall be made payable to Owner and mailed or delivered to Owner on the first day of each month at the address set forth in Section 11.4. </w:t>
      </w:r>
    </w:p>
    <w:p>
      <w:pPr>
        <w:pStyle w:val="Heading1"/>
        <w:numPr>
          <w:ilvl w:val="0"/>
          <w:numId w:val="2"/>
        </w:numPr>
        <w:rPr>
          <w:sz w:val="22"/>
        </w:rPr>
      </w:pPr>
      <w:r>
        <w:rPr>
          <w:sz w:val="22"/>
          <w:u w:val="single"/>
        </w:rPr>
        <w:t>Taxes</w:t>
      </w:r>
      <w:r>
        <w:rPr>
          <w:sz w:val="22"/>
        </w:rPr>
        <w:t>.  Owner shall pay all real property taxes on the Premises at all times that this Lease is in effect and during the Removal Period.</w:t>
      </w:r>
    </w:p>
    <w:p>
      <w:pPr>
        <w:pStyle w:val="Heading1"/>
        <w:numPr>
          <w:ilvl w:val="0"/>
          <w:numId w:val="2"/>
        </w:numPr>
        <w:rPr>
          <w:sz w:val="22"/>
        </w:rPr>
      </w:pPr>
      <w:r>
        <w:rPr>
          <w:sz w:val="22"/>
          <w:u w:val="single"/>
        </w:rPr>
        <w:t>Use</w:t>
      </w:r>
      <w:r>
        <w:rPr>
          <w:sz w:val="22"/>
        </w:rPr>
        <w:t>.</w:t>
      </w:r>
    </w:p>
    <w:p>
      <w:pPr>
        <w:pStyle w:val="Heading2"/>
        <w:numPr>
          <w:ilvl w:val="1"/>
          <w:numId w:val="2"/>
        </w:numPr>
        <w:rPr>
          <w:spacing w:val="0"/>
        </w:rPr>
      </w:pPr>
      <w:r>
        <w:rPr>
          <w:spacing w:val="0"/>
          <w:u w:val="single"/>
        </w:rPr>
        <w:t>Facilities</w:t>
      </w:r>
      <w:r>
        <w:rPr>
          <w:spacing w:val="0"/>
        </w:rPr>
        <w:t>.  Owner agrees that the Premises may be used by Lessee for any lawful purpose, including without limitation uses associated with an equipment laydown yard for the storage of its pipes, equipment and other property related thereto.  In addition to the 40 ft. by 40 ft. building which is already on the Premises, Owner agrees that Lessee may, at its cost, install or construct any other building or structure reasonably necessary for Lessee’s use hereunder (collectively, the “Facilities”).  In addition, Lessee may install a septic system for bathrooms in any building on the Premises used by Lessee’s employees, representatives, and personnel.  On or before the expiration of the Removal Period, Lessee shall remove all of its pipe, equipment, and related property, as well as the Facilities, from the Premises.  Owner agrees that all of the Facilities are personal property of the Lessee and shall not be considered fixtures for any purposes despite any affixation or attachment to the Premises.  Owner agrees to defend, indemnify and hold Lessee harmless from any claims by third parties claiming by, through or under Owner that the Facilities are fixtures and comprise part of the real property comprising the Premises.</w:t>
      </w:r>
    </w:p>
    <w:p>
      <w:pPr>
        <w:pStyle w:val="Heading2"/>
        <w:numPr>
          <w:ilvl w:val="1"/>
          <w:numId w:val="2"/>
        </w:numPr>
        <w:rPr>
          <w:spacing w:val="0"/>
        </w:rPr>
      </w:pPr>
      <w:r>
        <w:rPr>
          <w:spacing w:val="0"/>
          <w:u w:val="single"/>
        </w:rPr>
        <w:t>Phone and Electricity Service Hookup</w:t>
      </w:r>
      <w:r>
        <w:rPr>
          <w:spacing w:val="0"/>
        </w:rPr>
        <w:t>. Owner agrees to provide a telephone and electrical hook up to the Premises (the “Utilities”) in a location acceptable to Lessee so that Lessee will have telephone service and electricity for use on the Premises.  Lessee shall reimburse Owner for all reasonable actual costs incurred by Owner in providing the hook ups for the Utilities.  Lessee will obtain Utilities service accounts in its own name and will pay all bills associated with such Utilities service directly to the provider.</w:t>
      </w:r>
    </w:p>
    <w:p>
      <w:pPr>
        <w:pStyle w:val="Heading1"/>
        <w:numPr>
          <w:ilvl w:val="0"/>
          <w:numId w:val="2"/>
        </w:numPr>
        <w:rPr>
          <w:sz w:val="22"/>
        </w:rPr>
      </w:pPr>
      <w:r>
        <w:rPr>
          <w:sz w:val="22"/>
          <w:u w:val="single"/>
        </w:rPr>
        <w:t>Access to Premises</w:t>
      </w:r>
      <w:r>
        <w:rPr>
          <w:sz w:val="22"/>
        </w:rPr>
        <w:t xml:space="preserve">.  Owner shall allow Lessee access at all times to the Premises and does hereby grant to Lessee non-exclusive rights of ingress and egress through the Yard for such access to and from the Premises.  Owner shall provide Lessee with a key to the front gate of the Yard so that Lessee shall have access to the Premises when Owner is not present at the Yard. </w:t>
      </w:r>
    </w:p>
    <w:p>
      <w:pPr>
        <w:pStyle w:val="Heading1"/>
        <w:numPr>
          <w:ilvl w:val="0"/>
          <w:numId w:val="2"/>
        </w:numPr>
        <w:rPr>
          <w:sz w:val="22"/>
        </w:rPr>
      </w:pPr>
      <w:r>
        <w:rPr>
          <w:sz w:val="22"/>
          <w:u w:val="single"/>
        </w:rPr>
        <w:t>Events of Default and Remedies</w:t>
      </w:r>
      <w:r>
        <w:rPr>
          <w:sz w:val="22"/>
        </w:rPr>
        <w:t>.</w:t>
      </w:r>
    </w:p>
    <w:p>
      <w:pPr>
        <w:pStyle w:val="Heading2"/>
        <w:numPr>
          <w:ilvl w:val="1"/>
          <w:numId w:val="2"/>
        </w:numPr>
        <w:rPr>
          <w:spacing w:val="0"/>
        </w:rPr>
      </w:pPr>
      <w:r>
        <w:rPr>
          <w:spacing w:val="0"/>
          <w:u w:val="single"/>
        </w:rPr>
        <w:t>Default by Lessee</w:t>
      </w:r>
      <w:r>
        <w:rPr>
          <w:spacing w:val="0"/>
        </w:rPr>
        <w:t xml:space="preserve">.  In the event of a default by Lessee in the payment of the Rent hereunder, or Lessee defaults in the performance of any of its other material obligations as set forth in this Lease, Owner shall notify Lessee in writing by registered mail, and Lessee shall have 30 calendar days following written notice from Owner within which to cure such default.  In the event Lessee does not cure the default within such time period, then the rights of Lessee hereunder shall be temporarily suspended until such default has been cured.  Owner shall have such further rights and remedies available to it at law or in equity, including without limitation damages sustained by Owner as a result of Lessee’s default. </w:t>
      </w:r>
    </w:p>
    <w:p>
      <w:pPr>
        <w:pStyle w:val="Heading2"/>
        <w:numPr>
          <w:ilvl w:val="1"/>
          <w:numId w:val="2"/>
        </w:numPr>
        <w:rPr>
          <w:spacing w:val="0"/>
        </w:rPr>
      </w:pPr>
      <w:r>
        <w:rPr>
          <w:spacing w:val="0"/>
          <w:u w:val="single"/>
        </w:rPr>
        <w:t>Default by Owner</w:t>
      </w:r>
      <w:r>
        <w:rPr>
          <w:spacing w:val="0"/>
        </w:rPr>
        <w:t>.  In the event Owner defaults in the performance of any of its material obligations as set forth in this Lease, including without limitation if any of Owner’s representations or warranties prove to be false, Lessee shall notify Owner in writing by registered mail, and Owner shall have 30 calendar days following written notice from Lessee within which to cure such default or problems arising out of any misrepresentation.  In the event Owner does not cure the default or remedy such problem within such time period, then in such event Owner shall be in default and Lessee shall be entitled to all rights and remedies available to it at law or in equity, including without limitation damages sustained by Lessee as a result of Owner’s default or misrepresentation.</w:t>
      </w:r>
    </w:p>
    <w:p>
      <w:pPr>
        <w:pStyle w:val="Heading1"/>
        <w:numPr>
          <w:ilvl w:val="0"/>
          <w:numId w:val="2"/>
        </w:numPr>
        <w:rPr>
          <w:sz w:val="22"/>
        </w:rPr>
      </w:pPr>
      <w:r>
        <w:rPr>
          <w:sz w:val="22"/>
          <w:u w:val="single"/>
        </w:rPr>
        <w:t>Assignment</w:t>
      </w:r>
      <w:r>
        <w:rPr>
          <w:sz w:val="22"/>
        </w:rPr>
        <w:t xml:space="preserve">.  Owner shall have the right to assign its rights and duties under this Lease in the event Owner conveys title to the Premises to another party, provided that such conveyance shall be expressly subject to the terms and conditions of this Lease.  Lessee shall not assign its rights and duties hereunder without the prior written consent of Owner, provided that Lessee shall have the right to assign its rights and obligations hereunder to any of its affiliates without Owner’s consent.  No assignment hereunder by either party shall be valid unless the assignment shall be evidenced by written instrument, a copy of which shall be delivered by the assigning party to the other party within 30 calendar days of the effective date of the assignment.  Upon such assignment, the assigning party shall have no further obligations or duties under this Lease.  </w:t>
      </w:r>
    </w:p>
    <w:p>
      <w:pPr>
        <w:pStyle w:val="Heading1"/>
        <w:numPr>
          <w:ilvl w:val="0"/>
          <w:numId w:val="2"/>
        </w:numPr>
        <w:rPr>
          <w:sz w:val="22"/>
        </w:rPr>
      </w:pPr>
      <w:r>
        <w:rPr>
          <w:sz w:val="22"/>
          <w:u w:val="single"/>
        </w:rPr>
        <w:t>Indemnity and Risk of Loss</w:t>
      </w:r>
      <w:r>
        <w:rPr>
          <w:sz w:val="22"/>
        </w:rPr>
        <w:t>.</w:t>
        <w:tab/>
      </w:r>
    </w:p>
    <w:p>
      <w:pPr>
        <w:pStyle w:val="Heading2"/>
        <w:numPr>
          <w:ilvl w:val="1"/>
          <w:numId w:val="2"/>
        </w:numPr>
        <w:rPr>
          <w:spacing w:val="0"/>
        </w:rPr>
      </w:pPr>
      <w:r>
        <w:rPr>
          <w:b/>
          <w:spacing w:val="0"/>
        </w:rPr>
        <w:t>Lessee hereby agrees to indemnify, defend and hold Owner harmless from all liability, loss, damages, costs or expenses, including reasonable attorney’s fees, on account of injuries to persons or property arising out of or resulting from the negligence or willful misconduct of the Lessee, Lessee’s agents, servants or employees, or of any other person entering upon the Premises under the express or implied invitation of the Lessee, or where such injuries are the result of the violation by Lessee of the provisions of this Lease.</w:t>
      </w:r>
      <w:r>
        <w:rPr>
          <w:spacing w:val="0"/>
        </w:rPr>
        <w:t xml:space="preserve">  </w:t>
      </w:r>
    </w:p>
    <w:p>
      <w:pPr>
        <w:pStyle w:val="Heading2"/>
        <w:numPr>
          <w:ilvl w:val="1"/>
          <w:numId w:val="2"/>
        </w:numPr>
        <w:rPr>
          <w:b/>
          <w:spacing w:val="0"/>
        </w:rPr>
      </w:pPr>
      <w:r>
        <w:rPr>
          <w:b/>
          <w:spacing w:val="0"/>
        </w:rPr>
        <w:t>Owner hereby agrees to indemnify, defend and hold Lessee harmless from all liability, loss, damages, costs or expenses, including attorney’s fees, on account of injuries to persons or property arising out of or resulting from the negligence or willful misconduct of the Owner, Owner’s agents, servants or employees, or of any other person entering upon the Premises, the Yard, or any other lands of Owner under the express or implied invitation of the Owner, or where such injuries are the result of the violation by Owner of the provisions of this Lease.</w:t>
      </w:r>
    </w:p>
    <w:p>
      <w:pPr>
        <w:pStyle w:val="Heading2"/>
        <w:numPr>
          <w:ilvl w:val="1"/>
          <w:numId w:val="2"/>
        </w:numPr>
        <w:rPr>
          <w:b/>
          <w:spacing w:val="0"/>
        </w:rPr>
      </w:pPr>
      <w:r>
        <w:rPr>
          <w:b/>
          <w:spacing w:val="0"/>
        </w:rPr>
        <w:t>Owner shall be liable for any damage or destruction to the Facilities or any of Lessee’s pipe, equipment, or other property on the Premises to the extent such damage or destruction arises out of or results from the negligence or willful misconduct of Owner, Owner’s agents, servants, employees or any other person entering upon the Premises, the Yard, or any other lands of Owner under the express or implied invitation of the Owner, or results from the violation by Owner of the provisions of this Lease</w:t>
      </w:r>
      <w:r>
        <w:rPr>
          <w:spacing w:val="0"/>
        </w:rPr>
        <w:t>.</w:t>
      </w:r>
    </w:p>
    <w:p>
      <w:pPr>
        <w:pStyle w:val="Heading2"/>
        <w:numPr>
          <w:ilvl w:val="1"/>
          <w:numId w:val="2"/>
        </w:numPr>
        <w:rPr/>
      </w:pPr>
      <w:r>
        <w:rPr/>
        <w:t>Owner shall assume all responsibility for compliance with applicable environmental laws relating to its use of the Premises.  In particular, but without limitation, Owner shall not generate (except in the normal course of its business and in strict compliance with all requirements of applicable federal and state law), or store, dispose of, or release, on the Premises, any hazardous wastes, substances, pollutants, or materials as defined under applicable federal or state law. Owner shall protect, indemnify, defend, and hold harmless Lessee from and against, any and all liabilities, claims, losses, damages, costs, or expenses, including reasonable attorneys’ fees, which arise from pollution of or contamination to the Premises caused by or relating to use of the Premises by Owner or its contractors, subcontractors, contractors’ employees, subcontractors’ employees, agents, representatives, or invitees.</w:t>
      </w:r>
    </w:p>
    <w:p>
      <w:pPr>
        <w:pStyle w:val="Normal"/>
        <w:ind w:firstLine="720" w:end="0"/>
        <w:rPr/>
      </w:pPr>
      <w:r>
        <w:rPr/>
        <w:t>Lessee shall assume all responsibility for compliance with applicable environmental laws relating to its use of the Owner’s Yard, including the Premises.  In particular, but without limitation, Lessee shall not generate (except in the normal course of its business and in strict compliance with all requirements of applicable federal and state law), or store, dispose of, or release, so as to affect the Premises, any hazardous wastes, substances, pollutants, or materials as defined under applicable federal or state law.  Lessee shall protect, indemnify, defend, and hold harmless Owner from and against, any and all liabilities, claims, losses, damages, costs, or expenses, including reasonable attorneys’ fees, which arise from pollution of or contamination to the Premises caused by or relating to use of the Owner’s Yard, including the Premises, by Lessee or its contractors, subcontractors, contractors’ employees, subcontractors’ employees, agents, representatives, or invitees.</w:t>
      </w:r>
    </w:p>
    <w:p>
      <w:pPr>
        <w:pStyle w:val="Normal"/>
        <w:ind w:firstLine="720" w:end="0"/>
        <w:rPr>
          <w:b/>
          <w:spacing w:val="0"/>
        </w:rPr>
      </w:pPr>
      <w:r>
        <w:rPr>
          <w:b/>
          <w:spacing w:val="0"/>
        </w:rPr>
      </w:r>
    </w:p>
    <w:p>
      <w:pPr>
        <w:pStyle w:val="Heading2"/>
        <w:numPr>
          <w:ilvl w:val="1"/>
          <w:numId w:val="2"/>
        </w:numPr>
        <w:rPr>
          <w:b/>
          <w:spacing w:val="0"/>
        </w:rPr>
      </w:pPr>
      <w:r>
        <w:rPr>
          <w:spacing w:val="0"/>
        </w:rPr>
        <w:t>The obligations set forth above in this Section 9 shall survive the termination of this Lease or expiration of the Initial Term, any Renewal Term, or the Removal Period.</w:t>
      </w:r>
    </w:p>
    <w:p>
      <w:pPr>
        <w:pStyle w:val="Heading1"/>
        <w:numPr>
          <w:ilvl w:val="0"/>
          <w:numId w:val="2"/>
        </w:numPr>
        <w:rPr>
          <w:sz w:val="22"/>
        </w:rPr>
      </w:pPr>
      <w:r>
        <w:rPr>
          <w:sz w:val="22"/>
          <w:u w:val="single"/>
        </w:rPr>
        <w:t>Limitation of Liability</w:t>
      </w:r>
      <w:r>
        <w:rPr>
          <w:sz w:val="22"/>
        </w:rPr>
        <w:t>. Neither Party SHALL be liable TO THE OTHER for TREBLE, consequential, incidental, punitive, exemplary OR indirect damages, LOST PROFITS OR OTHER BUSINESS INTERRUPTION DAMAGES, in tort, contract, UNDER THIS LEASE or otherwise INCLUDING WITHOUT LIMITATION PURSUANT TO THE FOREGOING INDEMNITY PROVISIONS, EXCEPT TO the EXTENT A PARTY IS LIABLE TO ANY THIRD PARTY FOR ANY SUCH DAMAGES.</w:t>
      </w:r>
    </w:p>
    <w:p>
      <w:pPr>
        <w:pStyle w:val="Heading1"/>
        <w:numPr>
          <w:ilvl w:val="0"/>
          <w:numId w:val="2"/>
        </w:numPr>
        <w:rPr>
          <w:sz w:val="22"/>
        </w:rPr>
      </w:pPr>
      <w:r>
        <w:rPr>
          <w:sz w:val="22"/>
          <w:u w:val="single"/>
        </w:rPr>
        <w:t>Arbitration</w:t>
      </w:r>
      <w:r>
        <w:rPr>
          <w:sz w:val="22"/>
        </w:rPr>
        <w:t>.  Any dispute relating to this Lease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Owner or Lessee and does not have a direct or indirect interest in either Owner or Lessee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Lease may be awarded and the arbitrator shall have no authority to award treble, consequential, incidental, indirect, exemplary or punitive, lost profits or other business interruption damages of any type under any circumstances regardless of whether such damages may be available under Wyoming law. </w:t>
      </w:r>
    </w:p>
    <w:p>
      <w:pPr>
        <w:pStyle w:val="Heading1"/>
        <w:numPr>
          <w:ilvl w:val="0"/>
          <w:numId w:val="2"/>
        </w:numPr>
        <w:spacing w:before="0" w:after="0"/>
        <w:rPr>
          <w:sz w:val="22"/>
        </w:rPr>
      </w:pPr>
      <w:r>
        <w:rPr>
          <w:sz w:val="22"/>
          <w:u w:val="single"/>
        </w:rPr>
        <w:t>Memorandum of Lease</w:t>
      </w:r>
      <w:r>
        <w:rPr>
          <w:sz w:val="22"/>
        </w:rPr>
        <w:t>.  This Lease, or a memorandum thereof, may be recorded in the real property records of the county in which the Premises are located, at Lessee’s election and cost, and Owner agrees to execute such memorandum at the request of Lessee for the purpose of recording.  In the event this Lease or a memorandum hereof is placed of record, Lessee agrees to record, upon any termination of this Lease or expiration of the Initial Term, any Renewal Term, or the Removal Period, a release and termination of this Lease.</w:t>
      </w:r>
    </w:p>
    <w:p>
      <w:pPr>
        <w:pStyle w:val="Normal"/>
        <w:rPr>
          <w:sz w:val="22"/>
        </w:rPr>
      </w:pPr>
      <w:r>
        <w:rPr>
          <w:sz w:val="22"/>
        </w:rPr>
      </w:r>
    </w:p>
    <w:p>
      <w:pPr>
        <w:pStyle w:val="Heading1"/>
        <w:numPr>
          <w:ilvl w:val="0"/>
          <w:numId w:val="2"/>
        </w:numPr>
        <w:spacing w:before="0" w:after="0"/>
        <w:rPr>
          <w:sz w:val="22"/>
        </w:rPr>
      </w:pPr>
      <w:r>
        <w:rPr>
          <w:sz w:val="22"/>
          <w:u w:val="single"/>
        </w:rPr>
        <w:t>Miscellaneous Provisions</w:t>
      </w:r>
      <w:r>
        <w:rPr>
          <w:sz w:val="22"/>
        </w:rPr>
        <w:t>.</w:t>
      </w:r>
    </w:p>
    <w:p>
      <w:pPr>
        <w:pStyle w:val="Normal"/>
        <w:rPr>
          <w:sz w:val="22"/>
        </w:rPr>
      </w:pPr>
      <w:r>
        <w:rPr>
          <w:sz w:val="22"/>
        </w:rPr>
      </w:r>
    </w:p>
    <w:p>
      <w:pPr>
        <w:pStyle w:val="Heading2"/>
        <w:numPr>
          <w:ilvl w:val="1"/>
          <w:numId w:val="2"/>
        </w:numPr>
        <w:spacing w:before="0" w:after="0"/>
        <w:rPr>
          <w:spacing w:val="0"/>
        </w:rPr>
      </w:pPr>
      <w:r>
        <w:rPr>
          <w:spacing w:val="0"/>
          <w:u w:val="single"/>
        </w:rPr>
        <w:t>No Partnership</w:t>
      </w:r>
      <w:r>
        <w:rPr>
          <w:spacing w:val="0"/>
        </w:rPr>
        <w:t xml:space="preserve">.  Neither party, in any way or for any purpose, become a partner or joint venturer of the other pursuant to this Lease. </w:t>
      </w:r>
    </w:p>
    <w:p>
      <w:pPr>
        <w:pStyle w:val="Normal"/>
        <w:rPr>
          <w:spacing w:val="0"/>
        </w:rPr>
      </w:pPr>
      <w:r>
        <w:rPr>
          <w:spacing w:val="0"/>
        </w:rPr>
      </w:r>
    </w:p>
    <w:p>
      <w:pPr>
        <w:pStyle w:val="Heading2"/>
        <w:numPr>
          <w:ilvl w:val="1"/>
          <w:numId w:val="2"/>
        </w:numPr>
        <w:rPr>
          <w:spacing w:val="0"/>
        </w:rPr>
      </w:pPr>
      <w:r>
        <w:rPr>
          <w:spacing w:val="0"/>
          <w:u w:val="single"/>
        </w:rPr>
        <w:t>Force Majeure</w:t>
      </w:r>
      <w:r>
        <w:rPr>
          <w:spacing w:val="0"/>
        </w:rPr>
        <w:t xml:space="preserve">.  Owner and Lessee shall be excused for the period of any delay in the performance of any obligations hereunder (other than the payment of money) when prevented from so doing by cause or causes beyond the respective control of each, including labor disputes, civil commotion, war, governmental regulations or controls, fire or other casualty, weather, inability to obtain any material or services, or acts of God.  In the event any such event of force majeure exists continually beyond a period of 30 calendar days, Lessee shall have the right to terminate this Lease upon thirty 10 calendar days' written notice to Owner. </w:t>
      </w:r>
    </w:p>
    <w:p>
      <w:pPr>
        <w:pStyle w:val="Heading2"/>
        <w:numPr>
          <w:ilvl w:val="1"/>
          <w:numId w:val="2"/>
        </w:numPr>
        <w:rPr>
          <w:spacing w:val="0"/>
        </w:rPr>
      </w:pPr>
      <w:r>
        <w:rPr>
          <w:spacing w:val="0"/>
          <w:u w:val="single"/>
        </w:rPr>
        <w:t>No Waiver</w:t>
      </w:r>
      <w:r>
        <w:rPr>
          <w:spacing w:val="0"/>
        </w:rPr>
        <w:t xml:space="preserve">.  Failure of either party to insist upon the strict performance of any provision hereunder shall not be construed as a waiver for the future of such provision.  No provision of this Lease shall be deemed to have been waived by either party unless such waiver be in writing and signed by such party. </w:t>
      </w:r>
    </w:p>
    <w:p>
      <w:pPr>
        <w:pStyle w:val="Heading2"/>
        <w:numPr>
          <w:ilvl w:val="1"/>
          <w:numId w:val="2"/>
        </w:numPr>
        <w:rPr>
          <w:spacing w:val="0"/>
        </w:rPr>
      </w:pPr>
      <w:r>
        <w:rPr>
          <w:spacing w:val="0"/>
          <w:u w:val="single"/>
        </w:rPr>
        <w:t>Notices</w:t>
      </w:r>
      <w:r>
        <w:rPr>
          <w:spacing w:val="0"/>
        </w:rPr>
        <w:t xml:space="preserve">.  Any notice, demand, request or other instrument which may be or is required to be given under this Lease shall be in writing and shall be delivered in person, by telecopy, or sent by United States mail, postage prepaid, and shall be addressed to the party to receive such notice at its business address.  The addresses of the parties on the execution date of this Lease are as follows: </w:t>
      </w:r>
    </w:p>
    <w:p>
      <w:pPr>
        <w:pStyle w:val="BodyText"/>
        <w:spacing w:before="0" w:after="0"/>
        <w:rPr>
          <w:spacing w:val="0"/>
          <w:u w:val="single"/>
        </w:rPr>
      </w:pPr>
      <w:r>
        <w:rPr>
          <w:spacing w:val="0"/>
        </w:rPr>
        <w:t>Owner:</w:t>
        <w:tab/>
        <w:tab/>
        <w:t>Enron Black Hills Trucking, Inc.</w:t>
      </w:r>
    </w:p>
    <w:p>
      <w:pPr>
        <w:pStyle w:val="BodyText"/>
        <w:spacing w:before="0" w:after="0"/>
        <w:rPr>
          <w:spacing w:val="0"/>
        </w:rPr>
      </w:pPr>
      <w:r>
        <w:rPr>
          <w:spacing w:val="0"/>
        </w:rPr>
        <w:tab/>
        <w:tab/>
      </w:r>
      <w:r>
        <w:rPr>
          <w:spacing w:val="0"/>
          <w:u w:val="single"/>
        </w:rPr>
        <w:tab/>
        <w:tab/>
        <w:tab/>
        <w:tab/>
        <w:tab/>
      </w:r>
    </w:p>
    <w:p>
      <w:pPr>
        <w:pStyle w:val="BodyText"/>
        <w:spacing w:before="0" w:after="0"/>
        <w:rPr>
          <w:spacing w:val="0"/>
        </w:rPr>
      </w:pPr>
      <w:r>
        <w:rPr>
          <w:spacing w:val="0"/>
        </w:rPr>
        <w:tab/>
        <w:tab/>
      </w:r>
      <w:r>
        <w:rPr>
          <w:spacing w:val="0"/>
          <w:u w:val="single"/>
        </w:rPr>
        <w:tab/>
        <w:tab/>
        <w:tab/>
        <w:tab/>
        <w:tab/>
      </w:r>
    </w:p>
    <w:p>
      <w:pPr>
        <w:pStyle w:val="BodyText"/>
        <w:spacing w:before="0" w:after="0"/>
        <w:rPr>
          <w:spacing w:val="0"/>
        </w:rPr>
      </w:pPr>
      <w:r>
        <w:rPr>
          <w:spacing w:val="0"/>
        </w:rPr>
        <w:tab/>
        <w:tab/>
        <w:t xml:space="preserve">Fax: </w:t>
      </w:r>
      <w:r>
        <w:rPr>
          <w:spacing w:val="0"/>
          <w:u w:val="single"/>
        </w:rPr>
        <w:tab/>
        <w:tab/>
        <w:tab/>
        <w:tab/>
        <w:tab/>
      </w:r>
    </w:p>
    <w:p>
      <w:pPr>
        <w:pStyle w:val="Normal"/>
        <w:rPr>
          <w:spacing w:val="0"/>
        </w:rPr>
      </w:pPr>
      <w:r>
        <w:rPr>
          <w:spacing w:val="0"/>
        </w:rPr>
      </w:r>
    </w:p>
    <w:p>
      <w:pPr>
        <w:pStyle w:val="Normal"/>
        <w:tabs>
          <w:tab w:val="clear" w:pos="720"/>
          <w:tab w:val="left" w:pos="-720" w:leader="none"/>
        </w:tabs>
        <w:suppressAutoHyphens w:val="true"/>
        <w:rPr>
          <w:spacing w:val="0"/>
        </w:rPr>
      </w:pPr>
      <w:r>
        <w:rPr>
          <w:spacing w:val="0"/>
        </w:rPr>
        <w:tab/>
        <w:t>Lessee:</w:t>
        <w:tab/>
        <w:t>Enron Midstream Services, L.L.C.</w:t>
      </w:r>
    </w:p>
    <w:p>
      <w:pPr>
        <w:pStyle w:val="Normal"/>
        <w:tabs>
          <w:tab w:val="clear" w:pos="720"/>
          <w:tab w:val="left" w:pos="-720" w:leader="none"/>
        </w:tabs>
        <w:suppressAutoHyphens w:val="true"/>
        <w:rPr>
          <w:spacing w:val="0"/>
        </w:rPr>
      </w:pPr>
      <w:r>
        <w:rPr>
          <w:spacing w:val="0"/>
        </w:rPr>
        <w:tab/>
        <w:tab/>
        <w:tab/>
      </w:r>
      <w:r>
        <w:rPr>
          <w:spacing w:val="0"/>
          <w:u w:val="single"/>
        </w:rPr>
        <w:tab/>
        <w:tab/>
        <w:tab/>
        <w:tab/>
        <w:tab/>
      </w:r>
    </w:p>
    <w:p>
      <w:pPr>
        <w:pStyle w:val="Normal"/>
        <w:tabs>
          <w:tab w:val="clear" w:pos="720"/>
          <w:tab w:val="left" w:pos="-720" w:leader="none"/>
        </w:tabs>
        <w:suppressAutoHyphens w:val="true"/>
        <w:rPr>
          <w:spacing w:val="0"/>
        </w:rPr>
      </w:pPr>
      <w:r>
        <w:rPr>
          <w:spacing w:val="0"/>
        </w:rPr>
        <w:tab/>
        <w:tab/>
        <w:tab/>
      </w:r>
      <w:r>
        <w:rPr>
          <w:spacing w:val="0"/>
          <w:u w:val="single"/>
        </w:rPr>
        <w:tab/>
        <w:tab/>
        <w:tab/>
        <w:tab/>
        <w:tab/>
      </w:r>
    </w:p>
    <w:p>
      <w:pPr>
        <w:pStyle w:val="Normal"/>
        <w:tabs>
          <w:tab w:val="clear" w:pos="720"/>
          <w:tab w:val="left" w:pos="-720" w:leader="none"/>
        </w:tabs>
        <w:suppressAutoHyphens w:val="true"/>
        <w:rPr>
          <w:spacing w:val="0"/>
        </w:rPr>
      </w:pPr>
      <w:r>
        <w:rPr>
          <w:spacing w:val="0"/>
        </w:rPr>
        <w:tab/>
        <w:tab/>
        <w:tab/>
        <w:t xml:space="preserve">Fax: </w:t>
      </w:r>
      <w:r>
        <w:rPr>
          <w:spacing w:val="0"/>
          <w:u w:val="single"/>
        </w:rPr>
        <w:tab/>
        <w:tab/>
        <w:tab/>
        <w:tab/>
        <w:tab/>
      </w:r>
    </w:p>
    <w:p>
      <w:pPr>
        <w:pStyle w:val="Normal"/>
        <w:tabs>
          <w:tab w:val="clear" w:pos="720"/>
          <w:tab w:val="left" w:pos="-720" w:leader="none"/>
        </w:tabs>
        <w:suppressAutoHyphens w:val="true"/>
        <w:rPr>
          <w:spacing w:val="0"/>
        </w:rPr>
      </w:pPr>
      <w:r>
        <w:rPr>
          <w:spacing w:val="0"/>
        </w:rPr>
      </w:r>
    </w:p>
    <w:p>
      <w:pPr>
        <w:pStyle w:val="Normal"/>
        <w:rPr>
          <w:spacing w:val="0"/>
        </w:rPr>
      </w:pPr>
      <w:r>
        <w:rPr>
          <w:spacing w:val="0"/>
        </w:rPr>
        <w:t xml:space="preserve">Either party may designate another address by written notice to the other party.  Any notice shall be deemed given upon hand delivery, upon receipt of a telecopy confirmation of a successful transmission, or upon the second business day following deposit in the United States mail as herein described. </w:t>
      </w:r>
    </w:p>
    <w:p>
      <w:pPr>
        <w:pStyle w:val="Normal"/>
        <w:tabs>
          <w:tab w:val="clear" w:pos="720"/>
          <w:tab w:val="left" w:pos="-720" w:leader="none"/>
        </w:tabs>
        <w:suppressAutoHyphens w:val="true"/>
        <w:rPr>
          <w:spacing w:val="0"/>
        </w:rPr>
      </w:pPr>
      <w:r>
        <w:rPr>
          <w:spacing w:val="0"/>
        </w:rPr>
      </w:r>
    </w:p>
    <w:p>
      <w:pPr>
        <w:pStyle w:val="Heading2"/>
        <w:numPr>
          <w:ilvl w:val="1"/>
          <w:numId w:val="2"/>
        </w:numPr>
        <w:rPr>
          <w:spacing w:val="0"/>
        </w:rPr>
      </w:pPr>
      <w:r>
        <w:rPr>
          <w:spacing w:val="0"/>
          <w:u w:val="single"/>
        </w:rPr>
        <w:t>Partial Invalidity</w:t>
      </w:r>
      <w:r>
        <w:rPr>
          <w:spacing w:val="0"/>
        </w:rPr>
        <w:t xml:space="preserve">.  If any provision of this Lease or the application thereof to any person or circumstance shall to any extent be invalid, the remainder of this Lease or the application of such provision to persons or circumstances other than those as to which it is held invalid shall not be affected thereby and each provision of this Lease shall be valid and enforced to the fullest extent permitted by law. </w:t>
      </w:r>
    </w:p>
    <w:p>
      <w:pPr>
        <w:pStyle w:val="Heading2"/>
        <w:numPr>
          <w:ilvl w:val="1"/>
          <w:numId w:val="2"/>
        </w:numPr>
        <w:rPr>
          <w:spacing w:val="0"/>
        </w:rPr>
      </w:pPr>
      <w:r>
        <w:rPr>
          <w:spacing w:val="0"/>
          <w:u w:val="single"/>
        </w:rPr>
        <w:t>Provisions Binding</w:t>
      </w:r>
      <w:r>
        <w:rPr>
          <w:spacing w:val="0"/>
        </w:rPr>
        <w:t xml:space="preserve">.  Except as otherwise provided, all provisions herein shall be binding upon and shall inure to the benefit of the parties, their successors and assigns. </w:t>
      </w:r>
    </w:p>
    <w:p>
      <w:pPr>
        <w:pStyle w:val="Heading2"/>
        <w:numPr>
          <w:ilvl w:val="1"/>
          <w:numId w:val="2"/>
        </w:numPr>
        <w:rPr>
          <w:spacing w:val="0"/>
        </w:rPr>
      </w:pPr>
      <w:r>
        <w:rPr>
          <w:spacing w:val="0"/>
          <w:u w:val="single"/>
        </w:rPr>
        <w:t>Entire Agreement</w:t>
      </w:r>
      <w:r>
        <w:rPr>
          <w:spacing w:val="0"/>
        </w:rPr>
        <w:t xml:space="preserve">.   This Lease sets forth the entire agreement between the parties.  Any prior discussions, understandings or writings with respect to the subject matter of this Lease are merged herein and are extinguished.  No subsequent amendment to this Lease shall be binding upon Owner or Lessee unless reduced to writing and signed by both parties. The captions and section numbers appearing herein are inserted only as a matter of convenience and are not intended to define, limit, construe or describe the scope or intent of any Section or Paragraph hereof. </w:t>
      </w:r>
    </w:p>
    <w:p>
      <w:pPr>
        <w:pStyle w:val="Heading2"/>
        <w:numPr>
          <w:ilvl w:val="1"/>
          <w:numId w:val="2"/>
        </w:numPr>
        <w:rPr>
          <w:spacing w:val="0"/>
        </w:rPr>
      </w:pPr>
      <w:r>
        <w:rPr>
          <w:spacing w:val="0"/>
          <w:u w:val="single"/>
        </w:rPr>
        <w:t>Attorneys' Fees and Costs</w:t>
      </w:r>
      <w:r>
        <w:rPr>
          <w:spacing w:val="0"/>
        </w:rPr>
        <w:t xml:space="preserve">.  In the event either Lessee or Owner defaults under the terms of this Lease, the defaulting party shall pay all costs incurred by the other party in enforcing the terms hereof, including reasonable attorneys' fees. </w:t>
      </w:r>
    </w:p>
    <w:p>
      <w:pPr>
        <w:pStyle w:val="Heading2"/>
        <w:numPr>
          <w:ilvl w:val="1"/>
          <w:numId w:val="2"/>
        </w:numPr>
        <w:rPr>
          <w:spacing w:val="0"/>
        </w:rPr>
      </w:pPr>
      <w:r>
        <w:rPr>
          <w:spacing w:val="0"/>
          <w:u w:val="single"/>
        </w:rPr>
        <w:t>Interpretation of Lease</w:t>
      </w:r>
      <w:r>
        <w:rPr>
          <w:spacing w:val="0"/>
        </w:rPr>
        <w:t xml:space="preserve">.  This Lease shall be interpreted and governed in accordance with the laws of the State of Wyoming. </w:t>
      </w:r>
    </w:p>
    <w:p>
      <w:pPr>
        <w:pStyle w:val="Heading2"/>
        <w:numPr>
          <w:ilvl w:val="1"/>
          <w:numId w:val="2"/>
        </w:numPr>
        <w:ind w:firstLine="1530" w:start="-90" w:end="0"/>
        <w:rPr>
          <w:spacing w:val="0"/>
        </w:rPr>
      </w:pPr>
      <w:r>
        <w:rPr>
          <w:spacing w:val="0"/>
          <w:u w:val="single"/>
        </w:rPr>
        <w:t>Context</w:t>
      </w:r>
      <w:r>
        <w:rPr>
          <w:spacing w:val="0"/>
        </w:rPr>
        <w:t xml:space="preserve">.  Whenever the singular is used in this Lease and where required by the context, the same shall include the plural, and the masculine gender shall include the feminine and neuter genders and vice versa, and the word "person" shall include a corporation, partnership, firm, association, or other legal entity. </w:t>
      </w:r>
    </w:p>
    <w:p>
      <w:pPr>
        <w:pStyle w:val="Heading1"/>
        <w:numPr>
          <w:ilvl w:val="0"/>
          <w:numId w:val="2"/>
        </w:numPr>
        <w:rPr>
          <w:sz w:val="22"/>
        </w:rPr>
      </w:pPr>
      <w:r>
        <w:rPr>
          <w:sz w:val="22"/>
          <w:u w:val="single"/>
        </w:rPr>
        <w:t>Authority of Signatories</w:t>
      </w:r>
      <w:r>
        <w:rPr>
          <w:sz w:val="22"/>
        </w:rPr>
        <w:t xml:space="preserve">.  Each person executing this Lease represents and warrants that he is duly authorized to execute and deliver the same on behalf of the entity for which he is signing, and that this Lease is binding upon said entity in accordance with its terms. </w:t>
      </w:r>
    </w:p>
    <w:p>
      <w:pPr>
        <w:pStyle w:val="Normal"/>
        <w:rPr>
          <w:spacing w:val="0"/>
        </w:rPr>
      </w:pPr>
      <w:r>
        <w:rPr>
          <w:spacing w:val="0"/>
        </w:rPr>
        <w:t>BLACK HILLS TRUCKING, INC.</w:t>
      </w:r>
    </w:p>
    <w:p>
      <w:pPr>
        <w:pStyle w:val="Normal"/>
        <w:rPr>
          <w:spacing w:val="0"/>
        </w:rPr>
      </w:pPr>
      <w:r>
        <w:rPr>
          <w:spacing w:val="0"/>
        </w:rPr>
      </w:r>
    </w:p>
    <w:p>
      <w:pPr>
        <w:pStyle w:val="Normal"/>
        <w:rPr>
          <w:spacing w:val="0"/>
        </w:rPr>
      </w:pPr>
      <w:r>
        <w:rPr>
          <w:spacing w:val="0"/>
        </w:rPr>
        <w:t>By: _________________________</w:t>
        <w:tab/>
        <w:tab/>
      </w:r>
    </w:p>
    <w:p>
      <w:pPr>
        <w:pStyle w:val="Normal"/>
        <w:rPr>
          <w:spacing w:val="0"/>
        </w:rPr>
      </w:pPr>
      <w:r>
        <w:rPr>
          <w:spacing w:val="0"/>
        </w:rPr>
        <w:t>Name: ______________________</w:t>
        <w:tab/>
        <w:tab/>
      </w:r>
    </w:p>
    <w:p>
      <w:pPr>
        <w:pStyle w:val="Normal"/>
        <w:rPr>
          <w:spacing w:val="0"/>
        </w:rPr>
      </w:pPr>
      <w:r>
        <w:rPr>
          <w:spacing w:val="0"/>
        </w:rPr>
        <w:t>Title:   ______________________</w:t>
        <w:tab/>
        <w:tab/>
      </w:r>
    </w:p>
    <w:p>
      <w:pPr>
        <w:pStyle w:val="ListNum"/>
        <w:tabs>
          <w:tab w:val="clear" w:pos="720"/>
          <w:tab w:val="left" w:pos="-450" w:leader="none"/>
        </w:tabs>
        <w:rPr>
          <w:spacing w:val="0"/>
        </w:rPr>
      </w:pPr>
      <w:r>
        <w:rPr>
          <w:spacing w:val="0"/>
        </w:rPr>
      </w:r>
    </w:p>
    <w:p>
      <w:pPr>
        <w:pStyle w:val="Normal"/>
        <w:rPr>
          <w:spacing w:val="0"/>
        </w:rPr>
      </w:pPr>
      <w:r>
        <w:rPr>
          <w:spacing w:val="0"/>
        </w:rPr>
        <w:t>ENRON MIDSTREAM SERVICES, L.L.C.</w:t>
      </w:r>
    </w:p>
    <w:p>
      <w:pPr>
        <w:pStyle w:val="ListNum"/>
        <w:tabs>
          <w:tab w:val="clear" w:pos="720"/>
          <w:tab w:val="left" w:pos="-450" w:leader="none"/>
        </w:tabs>
        <w:rPr>
          <w:spacing w:val="0"/>
        </w:rPr>
      </w:pPr>
      <w:r>
        <w:rPr>
          <w:spacing w:val="0"/>
        </w:rPr>
      </w:r>
    </w:p>
    <w:p>
      <w:pPr>
        <w:pStyle w:val="Normal"/>
        <w:rPr>
          <w:spacing w:val="0"/>
        </w:rPr>
      </w:pPr>
      <w:r>
        <w:rPr>
          <w:spacing w:val="0"/>
        </w:rPr>
        <w:t>By: _________________________</w:t>
        <w:tab/>
        <w:tab/>
      </w:r>
    </w:p>
    <w:p>
      <w:pPr>
        <w:pStyle w:val="Normal"/>
        <w:rPr>
          <w:spacing w:val="0"/>
        </w:rPr>
      </w:pPr>
      <w:r>
        <w:rPr>
          <w:spacing w:val="0"/>
        </w:rPr>
        <w:t>Name: ______________________</w:t>
        <w:tab/>
        <w:tab/>
      </w:r>
    </w:p>
    <w:p>
      <w:pPr>
        <w:pStyle w:val="Normal"/>
        <w:rPr>
          <w:spacing w:val="0"/>
        </w:rPr>
      </w:pPr>
      <w:r>
        <w:rPr>
          <w:spacing w:val="0"/>
        </w:rPr>
        <w:t>Title:   ______________________</w:t>
        <w:tab/>
        <w:tab/>
      </w:r>
    </w:p>
    <w:p>
      <w:pPr>
        <w:pStyle w:val="ListNum"/>
        <w:tabs>
          <w:tab w:val="clear" w:pos="720"/>
          <w:tab w:val="left" w:pos="-450" w:leader="none"/>
        </w:tabs>
        <w:rPr>
          <w:rFonts w:eastAsia="Arial"/>
          <w:spacing w:val="0"/>
        </w:rPr>
      </w:pPr>
      <w:r>
        <w:rPr>
          <w:rFonts w:eastAsia="Arial"/>
          <w:spacing w:val="0"/>
        </w:rPr>
        <w:t xml:space="preserve"> </w:t>
      </w:r>
    </w:p>
    <w:p>
      <w:pPr>
        <w:sectPr>
          <w:footerReference w:type="default" r:id="rId2"/>
          <w:type w:val="nextPage"/>
          <w:pgSz w:w="12240" w:h="15840"/>
          <w:pgMar w:left="1440" w:right="1440" w:gutter="0" w:header="0" w:top="1440" w:footer="720" w:bottom="1152"/>
          <w:pgNumType w:start="1" w:fmt="decimal"/>
          <w:formProt w:val="false"/>
          <w:textDirection w:val="lrTb"/>
          <w:docGrid w:type="default" w:linePitch="360" w:charSpace="0"/>
        </w:sectPr>
        <w:pStyle w:val="Normal"/>
        <w:rPr>
          <w:spacing w:val="0"/>
        </w:rPr>
      </w:pPr>
      <w:bookmarkStart w:id="0" w:name="EADocNum"/>
      <w:bookmarkEnd w:id="0"/>
      <w:r>
        <w:rPr>
          <w:spacing w:val="0"/>
          <w:sz w:val="16"/>
        </w:rPr>
        <w:t>CHEYENNE:</w:t>
      </w:r>
      <w:r>
        <w:rPr>
          <w:spacing w:val="0"/>
          <w:sz w:val="16"/>
        </w:rPr>
        <w:fldChar w:fldCharType="begin"/>
      </w:r>
      <w:r>
        <w:rPr>
          <w:sz w:val="16"/>
          <w:spacing w:val="0"/>
        </w:rPr>
        <w:instrText xml:space="preserve"> FILENAME </w:instrText>
      </w:r>
      <w:r>
        <w:rPr>
          <w:sz w:val="16"/>
          <w:spacing w:val="0"/>
        </w:rPr>
        <w:fldChar w:fldCharType="separate"/>
      </w:r>
      <w:r>
        <w:rPr>
          <w:sz w:val="16"/>
          <w:spacing w:val="0"/>
        </w:rPr>
        <w:t>BlackHills_Lease1.doc</w:t>
      </w:r>
      <w:r>
        <w:rPr>
          <w:sz w:val="16"/>
          <w:spacing w:val="0"/>
        </w:rPr>
        <w:fldChar w:fldCharType="end"/>
      </w:r>
    </w:p>
    <w:p>
      <w:pPr>
        <w:pStyle w:val="Normal"/>
        <w:rPr>
          <w:spacing w:val="0"/>
        </w:rPr>
      </w:pPr>
      <w:r>
        <w:rPr>
          <w:spacing w:val="0"/>
        </w:rPr>
      </w:r>
      <w:bookmarkStart w:id="1" w:name="EADocNum"/>
      <w:bookmarkStart w:id="2" w:name="EADocNum"/>
      <w:bookmarkEnd w:id="2"/>
    </w:p>
    <w:p>
      <w:pPr>
        <w:pStyle w:val="Normal"/>
        <w:jc w:val="center"/>
        <w:rPr>
          <w:b/>
          <w:spacing w:val="0"/>
        </w:rPr>
      </w:pPr>
      <w:r>
        <w:rPr>
          <w:b/>
          <w:spacing w:val="0"/>
        </w:rPr>
        <w:t>EXHIBIT A</w:t>
      </w:r>
    </w:p>
    <w:p>
      <w:pPr>
        <w:pStyle w:val="Normal"/>
        <w:jc w:val="center"/>
        <w:rPr>
          <w:b/>
          <w:spacing w:val="0"/>
        </w:rPr>
      </w:pPr>
      <w:r>
        <w:rPr>
          <w:b/>
          <w:spacing w:val="0"/>
        </w:rPr>
      </w:r>
    </w:p>
    <w:p>
      <w:pPr>
        <w:pStyle w:val="Normal"/>
        <w:jc w:val="center"/>
        <w:rPr>
          <w:spacing w:val="0"/>
        </w:rPr>
      </w:pPr>
      <w:r>
        <w:rPr>
          <w:b/>
          <w:spacing w:val="0"/>
        </w:rPr>
        <w:t>Premises Description</w:t>
      </w:r>
    </w:p>
    <w:p>
      <w:pPr>
        <w:pStyle w:val="Normal"/>
        <w:rPr>
          <w:spacing w:val="0"/>
        </w:rPr>
      </w:pPr>
      <w:r>
        <w:rPr>
          <w:spacing w:val="0"/>
        </w:rPr>
      </w:r>
    </w:p>
    <w:p>
      <w:pPr>
        <w:pStyle w:val="Normal"/>
        <w:rPr>
          <w:spacing w:val="0"/>
        </w:rPr>
      </w:pPr>
      <w:r>
        <w:rPr>
          <w:spacing w:val="0"/>
        </w:rPr>
      </w:r>
    </w:p>
    <w:p>
      <w:pPr>
        <w:pStyle w:val="Normal"/>
        <w:rPr>
          <w:spacing w:val="0"/>
        </w:rPr>
      </w:pPr>
      <w:r>
        <w:rPr>
          <w:spacing w:val="0"/>
        </w:rPr>
      </w:r>
    </w:p>
    <w:sectPr>
      <w:footerReference w:type="default" r:id="rId3"/>
      <w:footerReference w:type="first" r:id="rId4"/>
      <w:type w:val="nextPage"/>
      <w:pgSz w:w="12240" w:h="15840"/>
      <w:pgMar w:left="1440" w:right="1440" w:gutter="0" w:header="0" w:top="1440"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720"/>
      </w:pPr>
      <w:rPr>
        <w:sz w:val="24"/>
        <w:i w:val="false"/>
        <w:b w:val="false"/>
        <w:rFonts w:ascii="Arial" w:hAnsi="Arial" w:cs="Arial"/>
      </w:rPr>
    </w:lvl>
    <w:lvl w:ilvl="1">
      <w:start w:val="1"/>
      <w:numFmt w:val="decimal"/>
      <w:lvlText w:val="%1.%2."/>
      <w:lvlJc w:val="start"/>
      <w:pPr>
        <w:tabs>
          <w:tab w:val="num" w:pos="720"/>
        </w:tabs>
        <w:ind w:start="0" w:hanging="720"/>
      </w:pPr>
      <w:rPr>
        <w:sz w:val="24"/>
        <w:i w:val="false"/>
        <w:b w:val="false"/>
        <w:rFonts w:ascii="Arial" w:hAnsi="Arial" w:cs="Arial"/>
      </w:r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docVars>
    <w:docVar w:name="highestBookmarkLevel$" w:val=" 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10"/>
      <w:sz w:val="22"/>
      <w:szCs w:val="20"/>
      <w:lang w:val="en-US" w:eastAsia="zh-CN" w:bidi="hi-IN"/>
    </w:rPr>
  </w:style>
  <w:style w:type="paragraph" w:styleId="Heading1">
    <w:name w:val="heading 1"/>
    <w:basedOn w:val="Normal"/>
    <w:next w:val="Heading2"/>
    <w:qFormat/>
    <w:pPr>
      <w:numPr>
        <w:ilvl w:val="0"/>
        <w:numId w:val="2"/>
      </w:numPr>
      <w:spacing w:before="0" w:after="240"/>
      <w:ind w:firstLine="720" w:start="0" w:end="0"/>
      <w:outlineLvl w:val="0"/>
    </w:pPr>
    <w:rPr>
      <w:spacing w:val="0"/>
      <w:kern w:val="2"/>
      <w:sz w:val="24"/>
    </w:rPr>
  </w:style>
  <w:style w:type="paragraph" w:styleId="Heading2">
    <w:name w:val="heading 2"/>
    <w:basedOn w:val="Normal"/>
    <w:next w:val="BodyText"/>
    <w:qFormat/>
    <w:pPr>
      <w:numPr>
        <w:ilvl w:val="0"/>
        <w:numId w:val="2"/>
      </w:numPr>
      <w:spacing w:before="0" w:after="240"/>
      <w:ind w:firstLine="1440" w:start="0" w:end="0"/>
      <w:outlineLvl w:val="1"/>
    </w:pPr>
    <w:rPr>
      <w:rFonts w:ascii="Arial" w:hAnsi="Arial" w:cs="Arial"/>
    </w:rPr>
  </w:style>
  <w:style w:type="paragraph" w:styleId="Heading3">
    <w:name w:val="heading 3"/>
    <w:basedOn w:val="Normal"/>
    <w:next w:val="BodyText"/>
    <w:qFormat/>
    <w:pPr>
      <w:numPr>
        <w:ilvl w:val="0"/>
        <w:numId w:val="2"/>
      </w:numPr>
      <w:spacing w:before="0" w:after="240"/>
      <w:outlineLvl w:val="2"/>
    </w:pPr>
    <w:rPr>
      <w:spacing w:val="10"/>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rFonts w:ascii="Arial" w:hAnsi="Arial" w:cs="Arial"/>
      <w:b w:val="false"/>
      <w:i w:val="false"/>
      <w:sz w:val="24"/>
    </w:rPr>
  </w:style>
  <w:style w:type="character" w:styleId="DefaultParagraphFont">
    <w:name w:val="Default Paragraph Font"/>
    <w:qForma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Header">
    <w:name w:val="header"/>
    <w:basedOn w:val="Normal"/>
    <w:pPr>
      <w:tabs>
        <w:tab w:val="clear" w:pos="720"/>
        <w:tab w:val="center" w:pos="4320" w:leader="none"/>
        <w:tab w:val="right" w:pos="8640" w:leader="none"/>
      </w:tabs>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pacing w:val="10"/>
    </w:rPr>
  </w:style>
  <w:style w:type="paragraph" w:styleId="ListDefin">
    <w:name w:val="List Defin"/>
    <w:basedOn w:val="Heading2"/>
    <w:qFormat/>
    <w:pPr>
      <w:numPr>
        <w:ilvl w:val="0"/>
        <w:numId w:val="4"/>
      </w:numPr>
      <w:outlineLvl w:val="9"/>
    </w:pPr>
    <w:rPr/>
  </w:style>
  <w:style w:type="paragraph" w:styleId="ListNum">
    <w:name w:val="ListNum"/>
    <w:basedOn w:val="Normal"/>
    <w:qFormat/>
    <w:pPr>
      <w:spacing w:before="0" w:after="240"/>
      <w:ind w:firstLine="720" w:start="0" w:end="0"/>
      <w:jc w:val="both"/>
    </w:pPr>
    <w:rPr>
      <w:rFonts w:ascii="Arial" w:hAnsi="Arial" w:cs="Arial"/>
    </w:rPr>
  </w:style>
  <w:style w:type="paragraph" w:styleId="1">
    <w:name w:val="1"/>
    <w:basedOn w:val="ListNum"/>
    <w:qFormat/>
    <w:pPr>
      <w:jc w:val="both"/>
    </w:pPr>
    <w:rPr/>
  </w:style>
  <w:style w:type="paragraph" w:styleId="Comment">
    <w:name w:val="Comment"/>
    <w:basedOn w:val="Normal"/>
    <w:next w:val="Normal"/>
    <w:qFormat/>
    <w:pPr/>
    <w:rPr>
      <w:vanish/>
      <w:color w:val="0000FF"/>
    </w:rPr>
  </w:style>
  <w:style w:type="paragraph" w:styleId="2">
    <w:name w:val="2"/>
    <w:basedOn w:val="ListNum"/>
    <w:qFormat/>
    <w:pPr>
      <w:tabs>
        <w:tab w:val="clear" w:pos="720"/>
        <w:tab w:val="left" w:pos="1800" w:leader="none"/>
      </w:tabs>
      <w:ind w:firstLine="1080" w:start="0" w:end="0"/>
      <w:jc w:val="both"/>
    </w:pPr>
    <w:rPr/>
  </w:style>
  <w:style w:type="paragraph" w:styleId="Closing">
    <w:name w:val="Closing"/>
    <w:basedOn w:val="Normal"/>
    <w:qFormat/>
    <w:pPr>
      <w:ind w:hanging="0" w:start="4320" w:end="0"/>
    </w:pPr>
    <w:rPr/>
  </w:style>
  <w:style w:type="numbering" w:styleId="WW8Num1">
    <w:name w:val="WW8Num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1999-09-15T19:30:00Z</dcterms:created>
  <dc:creator>M_HUGHES</dc:creator>
  <dc:description/>
  <dc:language>en-CA</dc:language>
  <cp:lastModifiedBy>gnemec</cp:lastModifiedBy>
  <cp:lastPrinted>1999-09-17T16:47:00Z</cp:lastPrinted>
  <dcterms:modified xsi:type="dcterms:W3CDTF">1999-09-20T11:42:00Z</dcterms:modified>
  <cp:revision>5</cp:revision>
  <dc:subject/>
  <dc:title>Black Hills Trucking/Enron Lease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