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b/>
        </w:rPr>
      </w:pPr>
      <w:r>
        <w:rPr>
          <w:b/>
        </w:rPr>
        <w:t>April 21, 2000</w:t>
      </w:r>
    </w:p>
    <w:p>
      <w:pPr>
        <w:pStyle w:val="Normal"/>
        <w:rPr>
          <w:b/>
        </w:rPr>
      </w:pPr>
      <w:r>
        <w:rPr>
          <w:b/>
        </w:rPr>
      </w:r>
    </w:p>
    <w:p>
      <w:pPr>
        <w:pStyle w:val="Normal"/>
        <w:rPr>
          <w:b/>
        </w:rPr>
      </w:pPr>
      <w:r>
        <w:rPr>
          <w:b/>
        </w:rPr>
        <w:t>Mr. Tim Carter</w:t>
      </w:r>
    </w:p>
    <w:p>
      <w:pPr>
        <w:pStyle w:val="Normal"/>
        <w:rPr>
          <w:b/>
        </w:rPr>
      </w:pPr>
      <w:r>
        <w:rPr>
          <w:b/>
        </w:rPr>
        <w:t>Northern States Power Company - Generation</w:t>
      </w:r>
    </w:p>
    <w:p>
      <w:pPr>
        <w:pStyle w:val="Normal"/>
        <w:rPr>
          <w:b/>
        </w:rPr>
      </w:pPr>
      <w:r>
        <w:rPr>
          <w:b/>
        </w:rPr>
        <w:t>414 Nicollet Mall</w:t>
      </w:r>
    </w:p>
    <w:p>
      <w:pPr>
        <w:pStyle w:val="Normal"/>
        <w:rPr>
          <w:b/>
        </w:rPr>
      </w:pPr>
      <w:r>
        <w:rPr>
          <w:b/>
        </w:rPr>
        <w:t>Minneapolis, MN 55401-1993</w:t>
      </w:r>
    </w:p>
    <w:p>
      <w:pPr>
        <w:pStyle w:val="Normal"/>
        <w:rPr>
          <w:b/>
          <w:sz w:val="20"/>
        </w:rPr>
      </w:pPr>
      <w:r>
        <w:rPr>
          <w:b/>
          <w:sz w:val="20"/>
        </w:rPr>
      </w:r>
    </w:p>
    <w:p>
      <w:pPr>
        <w:pStyle w:val="Normal"/>
        <w:ind w:hanging="720" w:start="720" w:end="0"/>
        <w:rPr>
          <w:b/>
        </w:rPr>
      </w:pPr>
      <w:r>
        <w:rPr>
          <w:b/>
        </w:rPr>
        <w:t>Re:</w:t>
        <w:tab/>
        <w:t>Black Dog Power Plant Project Request for Proposal</w:t>
      </w:r>
    </w:p>
    <w:p>
      <w:pPr>
        <w:pStyle w:val="Normal"/>
        <w:rPr>
          <w:b/>
          <w:sz w:val="20"/>
        </w:rPr>
      </w:pPr>
      <w:r>
        <w:rPr>
          <w:b/>
          <w:sz w:val="20"/>
        </w:rPr>
      </w:r>
    </w:p>
    <w:p>
      <w:pPr>
        <w:pStyle w:val="Normal"/>
        <w:rPr>
          <w:b/>
        </w:rPr>
      </w:pPr>
      <w:r>
        <w:rPr>
          <w:b/>
        </w:rPr>
        <w:t>Dear Tim:</w:t>
      </w:r>
    </w:p>
    <w:p>
      <w:pPr>
        <w:pStyle w:val="Normal"/>
        <w:rPr>
          <w:b/>
          <w:sz w:val="20"/>
        </w:rPr>
      </w:pPr>
      <w:r>
        <w:rPr>
          <w:b/>
          <w:sz w:val="20"/>
        </w:rPr>
      </w:r>
    </w:p>
    <w:p>
      <w:pPr>
        <w:pStyle w:val="Normal"/>
        <w:rPr>
          <w:b/>
        </w:rPr>
      </w:pPr>
      <w:r>
        <w:rPr>
          <w:b/>
        </w:rPr>
        <w:t>Northern has completed Level “A” cost estimates to upgrade its pipeline facilities in order to provide firm transportation service pursuant to your April 20, 2000 request.  The proposed services outlined herein are expressly subject to:</w:t>
      </w:r>
    </w:p>
    <w:p>
      <w:pPr>
        <w:pStyle w:val="Normal"/>
        <w:rPr>
          <w:b/>
          <w:sz w:val="20"/>
        </w:rPr>
      </w:pPr>
      <w:r>
        <w:rPr>
          <w:b/>
          <w:sz w:val="20"/>
        </w:rPr>
      </w:r>
    </w:p>
    <w:p>
      <w:pPr>
        <w:pStyle w:val="Normal"/>
        <w:numPr>
          <w:ilvl w:val="0"/>
          <w:numId w:val="2"/>
        </w:numPr>
        <w:rPr>
          <w:b/>
        </w:rPr>
      </w:pPr>
      <w:r>
        <w:rPr>
          <w:b/>
        </w:rPr>
        <w:t>Northern conducting an Open Season in which you, and potentially other parties, request volumes consistent with your April 20 request.  The level of market commitment during the Open Season will determine the final design of facility cost,</w:t>
      </w:r>
    </w:p>
    <w:p>
      <w:pPr>
        <w:pStyle w:val="Normal"/>
        <w:numPr>
          <w:ilvl w:val="0"/>
          <w:numId w:val="2"/>
        </w:numPr>
        <w:rPr>
          <w:b/>
        </w:rPr>
      </w:pPr>
      <w:r>
        <w:rPr>
          <w:b/>
        </w:rPr>
        <w:t xml:space="preserve">Northern’s determination, in its sole discretion, that the aggregate volumes requested as a result of the Open Season serve to economically justify the expansion based on final cost estimates and the rate proposals made herein, </w:t>
      </w:r>
    </w:p>
    <w:p>
      <w:pPr>
        <w:pStyle w:val="Normal"/>
        <w:numPr>
          <w:ilvl w:val="0"/>
          <w:numId w:val="2"/>
        </w:numPr>
        <w:rPr>
          <w:b/>
        </w:rPr>
      </w:pPr>
      <w:r>
        <w:rPr>
          <w:b/>
        </w:rPr>
        <w:t>Execution of a Precedent by you and Northern prescribing our mutual project obligations, and</w:t>
      </w:r>
    </w:p>
    <w:p>
      <w:pPr>
        <w:pStyle w:val="Normal"/>
        <w:numPr>
          <w:ilvl w:val="0"/>
          <w:numId w:val="2"/>
        </w:numPr>
        <w:rPr>
          <w:b/>
        </w:rPr>
      </w:pPr>
      <w:r>
        <w:rPr>
          <w:b/>
        </w:rPr>
        <w:t>Final Enron senior management approval.</w:t>
      </w:r>
    </w:p>
    <w:p>
      <w:pPr>
        <w:pStyle w:val="Normal"/>
        <w:rPr>
          <w:b/>
          <w:sz w:val="20"/>
        </w:rPr>
      </w:pPr>
      <w:r>
        <w:rPr>
          <w:b/>
          <w:sz w:val="20"/>
        </w:rPr>
      </w:r>
    </w:p>
    <w:p>
      <w:pPr>
        <w:pStyle w:val="Normal"/>
        <w:rPr>
          <w:b/>
        </w:rPr>
      </w:pPr>
      <w:r>
        <w:rPr>
          <w:b/>
        </w:rPr>
        <w:t>Following is a restatement of the requirements upon which you requested service and our service proposal:</w:t>
      </w:r>
    </w:p>
    <w:p>
      <w:pPr>
        <w:pStyle w:val="Normal"/>
        <w:rPr>
          <w:b/>
        </w:rPr>
      </w:pPr>
      <w:r>
        <w:rPr>
          <w:b/>
        </w:rPr>
      </w:r>
    </w:p>
    <w:p>
      <w:pPr>
        <w:pStyle w:val="Heading1"/>
        <w:tabs>
          <w:tab w:val="clear" w:pos="4320"/>
          <w:tab w:val="clear" w:pos="6750"/>
          <w:tab w:val="left" w:pos="810" w:leader="none"/>
          <w:tab w:val="left" w:pos="1710" w:leader="none"/>
          <w:tab w:val="left" w:pos="4500" w:leader="none"/>
          <w:tab w:val="left" w:pos="6480" w:leader="none"/>
        </w:tabs>
        <w:ind w:hanging="0" w:start="0"/>
        <w:rPr/>
      </w:pPr>
      <w:r>
        <w:rPr/>
        <w:tab/>
        <w:t>Firm Entitlement:</w:t>
        <w:tab/>
        <w:t>15,600 dth, at 1,950 dth/hour</w:t>
      </w:r>
    </w:p>
    <w:p>
      <w:pPr>
        <w:pStyle w:val="Heading1"/>
        <w:tabs>
          <w:tab w:val="clear" w:pos="4320"/>
          <w:tab w:val="clear" w:pos="6750"/>
          <w:tab w:val="left" w:pos="810" w:leader="none"/>
          <w:tab w:val="left" w:pos="1710" w:leader="none"/>
          <w:tab w:val="left" w:pos="4500" w:leader="none"/>
          <w:tab w:val="left" w:pos="6480" w:leader="none"/>
        </w:tabs>
        <w:ind w:hanging="0" w:start="0"/>
        <w:rPr/>
      </w:pPr>
      <w:r>
        <w:rPr/>
        <w:tab/>
        <w:t>Delivery Pressure:</w:t>
        <w:tab/>
        <w:t>500 psig</w:t>
      </w:r>
    </w:p>
    <w:p>
      <w:pPr>
        <w:pStyle w:val="Heading1"/>
        <w:tabs>
          <w:tab w:val="clear" w:pos="4320"/>
          <w:tab w:val="clear" w:pos="6750"/>
          <w:tab w:val="left" w:pos="810" w:leader="none"/>
          <w:tab w:val="left" w:pos="1710" w:leader="none"/>
          <w:tab w:val="left" w:pos="4500" w:leader="none"/>
          <w:tab w:val="left" w:pos="6480" w:leader="none"/>
        </w:tabs>
        <w:ind w:hanging="0" w:start="0"/>
        <w:rPr/>
      </w:pPr>
      <w:r>
        <w:rPr/>
        <w:tab/>
        <w:t>Delivery Point:</w:t>
        <w:tab/>
        <w:t>Plant site</w:t>
      </w:r>
    </w:p>
    <w:p>
      <w:pPr>
        <w:pStyle w:val="Heading1"/>
        <w:tabs>
          <w:tab w:val="clear" w:pos="4320"/>
          <w:tab w:val="clear" w:pos="6750"/>
          <w:tab w:val="left" w:pos="810" w:leader="none"/>
          <w:tab w:val="left" w:pos="1710" w:leader="none"/>
          <w:tab w:val="left" w:pos="4500" w:leader="none"/>
          <w:tab w:val="left" w:pos="6480" w:leader="none"/>
        </w:tabs>
        <w:ind w:hanging="0" w:start="0"/>
        <w:rPr/>
      </w:pPr>
      <w:r>
        <w:rPr/>
        <w:tab/>
        <w:t>Receipt Point:</w:t>
        <w:tab/>
        <w:t>Either NNG/Viking Chisago or</w:t>
      </w:r>
    </w:p>
    <w:p>
      <w:pPr>
        <w:pStyle w:val="Heading1"/>
        <w:tabs>
          <w:tab w:val="clear" w:pos="4320"/>
          <w:tab w:val="clear" w:pos="6750"/>
          <w:tab w:val="left" w:pos="810" w:leader="none"/>
          <w:tab w:val="left" w:pos="1710" w:leader="none"/>
          <w:tab w:val="left" w:pos="4500" w:leader="none"/>
          <w:tab w:val="left" w:pos="6480" w:leader="none"/>
        </w:tabs>
        <w:ind w:hanging="0" w:start="0"/>
        <w:rPr/>
      </w:pPr>
      <w:r>
        <w:rPr/>
        <w:tab/>
        <w:tab/>
        <w:tab/>
        <w:t>NNG/NBPL Ventura,</w:t>
      </w:r>
    </w:p>
    <w:p>
      <w:pPr>
        <w:pStyle w:val="Normal"/>
        <w:tabs>
          <w:tab w:val="clear" w:pos="720"/>
          <w:tab w:val="left" w:pos="810" w:leader="none"/>
          <w:tab w:val="left" w:pos="1710" w:leader="none"/>
          <w:tab w:val="left" w:pos="4500" w:leader="none"/>
          <w:tab w:val="left" w:pos="6480" w:leader="none"/>
        </w:tabs>
        <w:rPr/>
      </w:pPr>
      <w:r>
        <w:rPr/>
        <w:tab/>
        <w:tab/>
        <w:tab/>
      </w:r>
      <w:r>
        <w:rPr>
          <w:b/>
        </w:rPr>
        <w:t>exclusively, but not both</w:t>
      </w:r>
    </w:p>
    <w:p>
      <w:pPr>
        <w:pStyle w:val="Heading1"/>
        <w:tabs>
          <w:tab w:val="clear" w:pos="4320"/>
          <w:tab w:val="clear" w:pos="6750"/>
          <w:tab w:val="left" w:pos="810" w:leader="none"/>
          <w:tab w:val="left" w:pos="1710" w:leader="none"/>
          <w:tab w:val="left" w:pos="4500" w:leader="none"/>
          <w:tab w:val="left" w:pos="6480" w:leader="none"/>
        </w:tabs>
        <w:ind w:hanging="0" w:start="0"/>
        <w:rPr/>
      </w:pPr>
      <w:r>
        <w:rPr/>
        <w:tab/>
        <w:t>Term:</w:t>
        <w:tab/>
        <w:tab/>
        <w:t>June 1, 2002 – May 31, 2007</w:t>
      </w:r>
    </w:p>
    <w:p>
      <w:pPr>
        <w:pStyle w:val="Heading1"/>
        <w:tabs>
          <w:tab w:val="clear" w:pos="4320"/>
          <w:tab w:val="clear" w:pos="6750"/>
          <w:tab w:val="left" w:pos="810" w:leader="none"/>
          <w:tab w:val="left" w:pos="1710" w:leader="none"/>
          <w:tab w:val="left" w:pos="4500" w:leader="none"/>
          <w:tab w:val="left" w:pos="6480" w:leader="none"/>
        </w:tabs>
        <w:ind w:hanging="0" w:start="0"/>
        <w:rPr/>
      </w:pPr>
      <w:r>
        <w:rPr/>
        <w:tab/>
        <w:t>Rate Schedule:</w:t>
        <w:tab/>
        <w:t>TFX</w:t>
      </w:r>
    </w:p>
    <w:p>
      <w:pPr>
        <w:pStyle w:val="Heading1"/>
        <w:tabs>
          <w:tab w:val="clear" w:pos="4320"/>
          <w:tab w:val="clear" w:pos="6750"/>
          <w:tab w:val="left" w:pos="810" w:leader="none"/>
          <w:tab w:val="left" w:pos="1710" w:leader="none"/>
          <w:tab w:val="left" w:pos="4500" w:leader="none"/>
          <w:tab w:val="left" w:pos="6480" w:leader="none"/>
        </w:tabs>
        <w:ind w:hanging="5940" w:start="5940" w:end="0"/>
        <w:rPr/>
      </w:pPr>
      <w:r>
        <w:rPr/>
        <w:tab/>
        <w:t>Service Period:</w:t>
        <w:tab/>
        <w:t>12 months, beginning June 1, 2002</w:t>
      </w:r>
    </w:p>
    <w:p>
      <w:pPr>
        <w:pStyle w:val="Heading1"/>
        <w:tabs>
          <w:tab w:val="clear" w:pos="4320"/>
          <w:tab w:val="clear" w:pos="6750"/>
          <w:tab w:val="left" w:pos="810" w:leader="none"/>
          <w:tab w:val="left" w:pos="1710" w:leader="none"/>
          <w:tab w:val="left" w:pos="4500" w:leader="none"/>
          <w:tab w:val="left" w:pos="6480" w:leader="none"/>
        </w:tabs>
        <w:ind w:hanging="0" w:start="0"/>
        <w:rPr/>
      </w:pPr>
      <w:r>
        <w:rPr/>
        <w:tab/>
        <w:t>Facility In-Service:</w:t>
        <w:tab/>
        <w:t>Feb. 1, 2002</w:t>
      </w:r>
    </w:p>
    <w:p>
      <w:pPr>
        <w:pStyle w:val="Heading1"/>
        <w:tabs>
          <w:tab w:val="clear" w:pos="4320"/>
          <w:tab w:val="clear" w:pos="6750"/>
          <w:tab w:val="left" w:pos="810" w:leader="none"/>
          <w:tab w:val="left" w:pos="1710" w:leader="none"/>
          <w:tab w:val="left" w:pos="4500" w:leader="none"/>
          <w:tab w:val="left" w:pos="6480" w:leader="none"/>
        </w:tabs>
        <w:ind w:hanging="0" w:start="0"/>
        <w:rPr/>
      </w:pPr>
      <w:r>
        <w:rPr/>
        <w:tab/>
        <w:t>Reservation Rate:</w:t>
        <w:tab/>
        <w:t>$33.51 dth/mo, ($6,273,072 annually),</w:t>
      </w:r>
    </w:p>
    <w:p>
      <w:pPr>
        <w:pStyle w:val="Heading1"/>
        <w:tabs>
          <w:tab w:val="clear" w:pos="4320"/>
          <w:tab w:val="clear" w:pos="6750"/>
          <w:tab w:val="left" w:pos="810" w:leader="none"/>
          <w:tab w:val="left" w:pos="1710" w:leader="none"/>
          <w:tab w:val="left" w:pos="4500" w:leader="none"/>
          <w:tab w:val="left" w:pos="6480" w:leader="none"/>
        </w:tabs>
        <w:ind w:hanging="0" w:start="0"/>
        <w:rPr/>
      </w:pPr>
      <w:r>
        <w:rPr/>
        <w:tab/>
        <w:tab/>
        <w:tab/>
        <w:t>plus all surcharges</w:t>
      </w:r>
    </w:p>
    <w:p>
      <w:pPr>
        <w:pStyle w:val="Heading1"/>
        <w:tabs>
          <w:tab w:val="clear" w:pos="4320"/>
          <w:tab w:val="clear" w:pos="6750"/>
          <w:tab w:val="left" w:pos="810" w:leader="none"/>
          <w:tab w:val="left" w:pos="1710" w:leader="none"/>
          <w:tab w:val="left" w:pos="4500" w:leader="none"/>
          <w:tab w:val="left" w:pos="6480" w:leader="none"/>
        </w:tabs>
        <w:ind w:hanging="5940" w:start="5940" w:end="0"/>
        <w:rPr/>
      </w:pPr>
      <w:r>
        <w:rPr/>
        <w:tab/>
        <w:t>Commodity Rate:</w:t>
        <w:tab/>
        <w:t>Maximum, plus all surcharges &amp; fuel</w:t>
      </w:r>
    </w:p>
    <w:p>
      <w:pPr>
        <w:pStyle w:val="Heading1"/>
        <w:tabs>
          <w:tab w:val="clear" w:pos="4320"/>
          <w:tab w:val="clear" w:pos="6750"/>
          <w:tab w:val="left" w:pos="810" w:leader="none"/>
          <w:tab w:val="left" w:pos="1710" w:leader="none"/>
          <w:tab w:val="left" w:pos="4500" w:leader="none"/>
          <w:tab w:val="left" w:pos="6480" w:leader="none"/>
        </w:tabs>
        <w:ind w:hanging="0" w:start="0"/>
        <w:rPr>
          <w:u w:val="single"/>
        </w:rPr>
      </w:pPr>
      <w:r>
        <w:rPr/>
        <w:tab/>
        <w:t>CIAC due NNG:</w:t>
        <w:tab/>
        <w:t>none</w:t>
      </w:r>
    </w:p>
    <w:p>
      <w:pPr>
        <w:pStyle w:val="Normal"/>
        <w:rPr>
          <w:u w:val="single"/>
        </w:rPr>
      </w:pPr>
      <w:r>
        <w:rPr>
          <w:u w:val="single"/>
        </w:rPr>
      </w:r>
    </w:p>
    <w:p>
      <w:pPr>
        <w:pStyle w:val="BodyText"/>
        <w:tabs>
          <w:tab w:val="clear" w:pos="720"/>
          <w:tab w:val="clear" w:pos="5940"/>
        </w:tabs>
        <w:rPr/>
      </w:pPr>
      <w:r>
        <w:rPr/>
        <w:t>Further, Northern will provide Authorized Overrun services pursuant to the following conditions:</w:t>
      </w:r>
    </w:p>
    <w:p>
      <w:pPr>
        <w:pStyle w:val="Normal"/>
        <w:rPr>
          <w:b/>
        </w:rPr>
      </w:pPr>
      <w:r>
        <w:rPr>
          <w:b/>
        </w:rPr>
      </w:r>
    </w:p>
    <w:p>
      <w:pPr>
        <w:pStyle w:val="Heading1"/>
        <w:tabs>
          <w:tab w:val="clear" w:pos="4320"/>
          <w:tab w:val="clear" w:pos="6750"/>
          <w:tab w:val="left" w:pos="810" w:leader="none"/>
          <w:tab w:val="left" w:pos="1710" w:leader="none"/>
          <w:tab w:val="left" w:pos="4500" w:leader="none"/>
          <w:tab w:val="left" w:pos="6480" w:leader="none"/>
        </w:tabs>
        <w:ind w:hanging="5940" w:start="5940" w:end="0"/>
        <w:rPr/>
      </w:pPr>
      <w:r>
        <w:rPr/>
        <w:tab/>
        <w:t>Commodity Rate:</w:t>
        <w:tab/>
        <w:t>$.07/dth, plus all surcharges &amp; fuel</w:t>
      </w:r>
    </w:p>
    <w:p>
      <w:pPr>
        <w:pStyle w:val="Heading1"/>
        <w:tabs>
          <w:tab w:val="clear" w:pos="4320"/>
          <w:tab w:val="clear" w:pos="6750"/>
          <w:tab w:val="left" w:pos="810" w:leader="none"/>
          <w:tab w:val="left" w:pos="1710" w:leader="none"/>
          <w:tab w:val="left" w:pos="4500" w:leader="none"/>
          <w:tab w:val="left" w:pos="6480" w:leader="none"/>
          <w:tab w:val="left" w:pos="6570" w:leader="none"/>
        </w:tabs>
        <w:ind w:hanging="4500" w:start="4500" w:end="0"/>
        <w:rPr/>
      </w:pPr>
      <w:r>
        <w:rPr/>
        <w:tab/>
        <w:t>Volume Cap:</w:t>
        <w:tab/>
        <w:t>All volumes above 16,500 dth/day and less than 35,101 dth/day</w:t>
      </w:r>
    </w:p>
    <w:p>
      <w:pPr>
        <w:pStyle w:val="Heading1"/>
        <w:tabs>
          <w:tab w:val="clear" w:pos="4320"/>
          <w:tab w:val="clear" w:pos="6750"/>
          <w:tab w:val="left" w:pos="810" w:leader="none"/>
          <w:tab w:val="left" w:pos="1710" w:leader="none"/>
          <w:tab w:val="left" w:pos="4500" w:leader="none"/>
          <w:tab w:val="left" w:pos="6480" w:leader="none"/>
        </w:tabs>
        <w:ind w:hanging="0" w:start="0"/>
        <w:rPr/>
      </w:pPr>
      <w:r>
        <w:rPr/>
        <w:tab/>
        <w:t>Delivery Point:</w:t>
        <w:tab/>
        <w:t xml:space="preserve">Plant site </w:t>
      </w:r>
      <w:r>
        <w:rPr>
          <w:u w:val="single"/>
        </w:rPr>
        <w:t>ONLY</w:t>
      </w:r>
    </w:p>
    <w:p>
      <w:pPr>
        <w:pStyle w:val="Heading1"/>
        <w:tabs>
          <w:tab w:val="clear" w:pos="4320"/>
          <w:tab w:val="clear" w:pos="6750"/>
          <w:tab w:val="left" w:pos="810" w:leader="none"/>
          <w:tab w:val="left" w:pos="1710" w:leader="none"/>
          <w:tab w:val="left" w:pos="4500" w:leader="none"/>
          <w:tab w:val="left" w:pos="6480" w:leader="none"/>
        </w:tabs>
        <w:ind w:hanging="0" w:start="0"/>
        <w:rPr/>
      </w:pPr>
      <w:r>
        <w:rPr/>
        <w:tab/>
        <w:t>Receipt Point:</w:t>
        <w:tab/>
        <w:t>All Market Area Receipt Points</w:t>
      </w:r>
    </w:p>
    <w:p>
      <w:pPr>
        <w:pStyle w:val="Heading1"/>
        <w:tabs>
          <w:tab w:val="clear" w:pos="4320"/>
          <w:tab w:val="clear" w:pos="6750"/>
          <w:tab w:val="left" w:pos="810" w:leader="none"/>
          <w:tab w:val="left" w:pos="1710" w:leader="none"/>
          <w:tab w:val="left" w:pos="4500" w:leader="none"/>
          <w:tab w:val="left" w:pos="6480" w:leader="none"/>
        </w:tabs>
        <w:ind w:hanging="0" w:start="0"/>
        <w:rPr/>
      </w:pPr>
      <w:r>
        <w:rPr/>
        <w:tab/>
        <w:t>Term:</w:t>
        <w:tab/>
        <w:tab/>
        <w:t>June 1, 2002 – May 31, 2007</w:t>
      </w:r>
    </w:p>
    <w:p>
      <w:pPr>
        <w:pStyle w:val="Heading1"/>
        <w:tabs>
          <w:tab w:val="clear" w:pos="4320"/>
          <w:tab w:val="clear" w:pos="6750"/>
          <w:tab w:val="left" w:pos="810" w:leader="none"/>
          <w:tab w:val="left" w:pos="1710" w:leader="none"/>
          <w:tab w:val="left" w:pos="4500" w:leader="none"/>
          <w:tab w:val="left" w:pos="6480" w:leader="none"/>
        </w:tabs>
        <w:ind w:hanging="4500" w:start="4500" w:end="0"/>
        <w:rPr/>
      </w:pPr>
      <w:r>
        <w:rPr/>
        <w:tab/>
        <w:t>Service Period:</w:t>
        <w:tab/>
        <w:t>7 months, beginning June 1, 2002, for the months of April through October annually</w:t>
      </w:r>
    </w:p>
    <w:p>
      <w:pPr>
        <w:pStyle w:val="Heading1"/>
        <w:tabs>
          <w:tab w:val="clear" w:pos="4320"/>
          <w:tab w:val="clear" w:pos="6750"/>
          <w:tab w:val="left" w:pos="810" w:leader="none"/>
          <w:tab w:val="left" w:pos="1710" w:leader="none"/>
          <w:tab w:val="left" w:pos="4500" w:leader="none"/>
          <w:tab w:val="left" w:pos="6480" w:leader="none"/>
        </w:tabs>
        <w:ind w:hanging="4500" w:start="4500" w:end="0"/>
        <w:rPr/>
      </w:pPr>
      <w:r>
        <w:rPr/>
        <w:tab/>
        <w:t>All Requirements Condition:</w:t>
        <w:tab/>
        <w:t>Discount will apply to the extent that all volumes delivered to the plant are made pursuant to the TFX service defined herein.</w:t>
      </w:r>
    </w:p>
    <w:p>
      <w:pPr>
        <w:pStyle w:val="Normal"/>
        <w:rPr/>
      </w:pPr>
      <w:r>
        <w:rPr/>
      </w:r>
    </w:p>
    <w:p>
      <w:pPr>
        <w:pStyle w:val="BodyText"/>
        <w:tabs>
          <w:tab w:val="clear" w:pos="720"/>
          <w:tab w:val="clear" w:pos="5940"/>
        </w:tabs>
        <w:rPr/>
      </w:pPr>
      <w:r>
        <w:rPr/>
        <w:t>Note, as with all transportation on Northern’s system initiating at a pipeline interconnect, it is Shipper’s responsibility to ensure volumes of gas sufficient to meet Shipper’s requirements are delivered to the designated receipt point at a pressure which will cause such volumes to be received by Northern.</w:t>
      </w:r>
    </w:p>
    <w:p>
      <w:pPr>
        <w:pStyle w:val="BodyText"/>
        <w:tabs>
          <w:tab w:val="clear" w:pos="720"/>
          <w:tab w:val="clear" w:pos="5940"/>
        </w:tabs>
        <w:rPr/>
      </w:pPr>
      <w:r>
        <w:rPr/>
      </w:r>
    </w:p>
    <w:p>
      <w:pPr>
        <w:pStyle w:val="BodyText"/>
        <w:tabs>
          <w:tab w:val="clear" w:pos="720"/>
          <w:tab w:val="clear" w:pos="5940"/>
          <w:tab w:val="left" w:pos="0" w:leader="none"/>
          <w:tab w:val="left" w:pos="4860" w:leader="none"/>
          <w:tab w:val="decimal" w:pos="8370" w:leader="none"/>
        </w:tabs>
        <w:rPr/>
      </w:pPr>
      <w:r>
        <w:rPr/>
        <w:t>This proposal, all of its contents and subsequent documentation and communications are made in strict confidence.  Please do not cause or permit disclosure thereof to any third party without the express written consent of Northern.</w:t>
      </w:r>
    </w:p>
    <w:p>
      <w:pPr>
        <w:pStyle w:val="Normal"/>
        <w:ind w:hanging="360" w:start="360" w:end="0"/>
        <w:rPr>
          <w:b/>
        </w:rPr>
      </w:pPr>
      <w:r>
        <w:rPr>
          <w:b/>
        </w:rPr>
      </w:r>
    </w:p>
    <w:p>
      <w:pPr>
        <w:pStyle w:val="Normal"/>
        <w:rPr>
          <w:b/>
        </w:rPr>
      </w:pPr>
      <w:r>
        <w:rPr>
          <w:b/>
        </w:rPr>
        <w:t>If you have any questions, please do not hesitate to contact me.</w:t>
      </w:r>
    </w:p>
    <w:p>
      <w:pPr>
        <w:pStyle w:val="Normal"/>
        <w:ind w:hanging="360" w:start="360" w:end="0"/>
        <w:rPr>
          <w:b/>
        </w:rPr>
      </w:pPr>
      <w:r>
        <w:rPr>
          <w:b/>
        </w:rPr>
      </w:r>
    </w:p>
    <w:p>
      <w:pPr>
        <w:pStyle w:val="Normal"/>
        <w:ind w:hanging="360" w:start="360" w:end="0"/>
        <w:rPr>
          <w:b/>
        </w:rPr>
      </w:pPr>
      <w:r>
        <w:rPr>
          <w:b/>
        </w:rPr>
        <w:t>Sincerely,</w:t>
      </w:r>
    </w:p>
    <w:p>
      <w:pPr>
        <w:pStyle w:val="Normal"/>
        <w:ind w:hanging="360" w:start="360" w:end="0"/>
        <w:rPr>
          <w:b/>
        </w:rPr>
      </w:pPr>
      <w:r>
        <w:rPr>
          <w:b/>
        </w:rPr>
      </w:r>
    </w:p>
    <w:p>
      <w:pPr>
        <w:pStyle w:val="Normal"/>
        <w:ind w:hanging="360" w:start="360" w:end="0"/>
        <w:rPr>
          <w:b/>
        </w:rPr>
      </w:pPr>
      <w:r>
        <w:rPr>
          <w:b/>
        </w:rPr>
      </w:r>
    </w:p>
    <w:p>
      <w:pPr>
        <w:pStyle w:val="Normal"/>
        <w:ind w:hanging="360" w:start="360" w:end="0"/>
        <w:rPr>
          <w:b/>
        </w:rPr>
      </w:pPr>
      <w:r>
        <w:rPr>
          <w:b/>
        </w:rPr>
      </w:r>
    </w:p>
    <w:p>
      <w:pPr>
        <w:pStyle w:val="Normal"/>
        <w:ind w:hanging="360" w:start="360" w:end="0"/>
        <w:rPr>
          <w:b/>
        </w:rPr>
      </w:pPr>
      <w:r>
        <w:rPr>
          <w:b/>
        </w:rPr>
      </w:r>
    </w:p>
    <w:p>
      <w:pPr>
        <w:pStyle w:val="Normal"/>
        <w:ind w:hanging="360" w:start="360" w:end="0"/>
        <w:rPr>
          <w:b/>
        </w:rPr>
      </w:pPr>
      <w:r>
        <w:rPr>
          <w:b/>
        </w:rPr>
        <w:t>Robert A. Stevens</w:t>
      </w:r>
    </w:p>
    <w:sectPr>
      <w:headerReference w:type="default" r:id="rId2"/>
      <w:headerReference w:type="first" r:id="rId3"/>
      <w:type w:val="nextPage"/>
      <w:pgSz w:w="12240" w:h="15840"/>
      <w:pgMar w:left="1080" w:right="1714" w:gutter="0" w:header="720" w:top="1620" w:footer="0" w:bottom="5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rPr>
    </w:pPr>
    <w:r>
      <w:rPr>
        <w:b/>
      </w:rPr>
      <w:t>Mr. Tim Carter</w:t>
    </w:r>
  </w:p>
  <w:p>
    <w:pPr>
      <w:pStyle w:val="Header"/>
      <w:rPr>
        <w:b/>
      </w:rPr>
    </w:pPr>
    <w:r>
      <w:rPr>
        <w:b/>
      </w:rPr>
      <w:t>April 20, 2000</w:t>
    </w:r>
  </w:p>
  <w:p>
    <w:pPr>
      <w:pStyle w:val="Header"/>
      <w:rPr>
        <w:rStyle w:val="PageNumber"/>
        <w:b/>
      </w:rPr>
    </w:pPr>
    <w:r>
      <w:rPr>
        <w:b/>
      </w:rPr>
      <w:t xml:space="preserve">Page:  </w:t>
    </w:r>
    <w:r>
      <w:rPr>
        <w:rStyle w:val="PageNumber"/>
        <w:b/>
      </w:rPr>
      <w:fldChar w:fldCharType="begin"/>
    </w:r>
    <w:r>
      <w:rPr>
        <w:rStyle w:val="PageNumber"/>
        <w:b/>
      </w:rPr>
      <w:instrText xml:space="preserve"> PAGE </w:instrText>
    </w:r>
    <w:r>
      <w:rPr>
        <w:rStyle w:val="PageNumber"/>
        <w:b/>
      </w:rPr>
      <w:fldChar w:fldCharType="separate"/>
    </w:r>
    <w:r>
      <w:rPr>
        <w:rStyle w:val="PageNumber"/>
        <w:b/>
      </w:rPr>
      <w:t>2</w:t>
    </w:r>
    <w:r>
      <w:rPr>
        <w:rStyle w:val="PageNumber"/>
        <w:b/>
      </w:rPr>
      <w:fldChar w:fldCharType="end"/>
    </w:r>
  </w:p>
  <w:p>
    <w:pPr>
      <w:pStyle w:val="Header"/>
      <w:rPr>
        <w:rStyle w:val="PageNumber"/>
        <w:b/>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rPr/>
    </w:lvl>
  </w:abstractNum>
  <w:num w:numId="1">
    <w:abstractNumId w:val="1"/>
  </w:num>
  <w:num w:numId="2">
    <w:abstractNumId w:val="2"/>
  </w:num>
</w:numbering>
</file>

<file path=word/settings.xml><?xml version="1.0" encoding="utf-8"?>
<w:settings xmlns:w="http://schemas.openxmlformats.org/wordprocessingml/2006/main">
  <w:zoom w:percent="60"/>
  <w:revisionView w:insDel="0" w:formatting="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4"/>
      <w:szCs w:val="20"/>
      <w:lang w:val="en-US" w:eastAsia="zh-CN" w:bidi="hi-IN"/>
    </w:rPr>
  </w:style>
  <w:style w:type="paragraph" w:styleId="Heading1">
    <w:name w:val="heading 1"/>
    <w:basedOn w:val="Normal"/>
    <w:next w:val="Normal"/>
    <w:qFormat/>
    <w:pPr>
      <w:keepNext w:val="true"/>
      <w:numPr>
        <w:ilvl w:val="0"/>
        <w:numId w:val="1"/>
      </w:numPr>
      <w:tabs>
        <w:tab w:val="clear" w:pos="720"/>
        <w:tab w:val="left" w:pos="4320" w:leader="none"/>
        <w:tab w:val="left" w:pos="6750" w:leader="none"/>
      </w:tabs>
      <w:outlineLvl w:val="0"/>
    </w:pPr>
    <w:rPr>
      <w:b/>
    </w:rPr>
  </w:style>
  <w:style w:type="character" w:styleId="WW8Num1z0">
    <w:name w:val="WW8Num1z0"/>
    <w:qFormat/>
    <w:rPr>
      <w:rFonts w:ascii="Symbol" w:hAnsi="Symbol" w:cs="Symbol"/>
      <w:sz w:val="20"/>
    </w:rPr>
  </w:style>
  <w:style w:type="character" w:styleId="WW8Num2z0">
    <w:name w:val="WW8Num2z0"/>
    <w:qFormat/>
    <w:rPr>
      <w:rFonts w:ascii="Symbol" w:hAnsi="Symbol" w:cs="Symbol"/>
    </w:rPr>
  </w:style>
  <w:style w:type="character" w:styleId="WW8Num5z0">
    <w:name w:val="WW8Num5z0"/>
    <w:qFormat/>
    <w:rPr>
      <w:rFonts w:ascii="Symbol" w:hAnsi="Symbol" w:cs="Symbol"/>
      <w:sz w:val="20"/>
    </w:rPr>
  </w:style>
  <w:style w:type="character" w:styleId="WW8Num7z0">
    <w:name w:val="WW8Num7z0"/>
    <w:qFormat/>
    <w:rPr/>
  </w:style>
  <w:style w:type="character" w:styleId="WW8Num9z0">
    <w:name w:val="WW8Num9z0"/>
    <w:qFormat/>
    <w:rPr>
      <w:rFonts w:ascii="Symbol" w:hAnsi="Symbol" w:cs="Symbol"/>
      <w:sz w:val="20"/>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left" w:pos="720" w:leader="none"/>
        <w:tab w:val="left" w:pos="5940" w:leader="none"/>
      </w:tabs>
    </w:pPr>
    <w:rPr>
      <w: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2000-04-21T12:36:00Z</dcterms:created>
  <dc:creator>robert a stevens</dc:creator>
  <dc:description/>
  <dc:language>en-CA</dc:language>
  <cp:lastModifiedBy>Enron</cp:lastModifiedBy>
  <cp:lastPrinted>2000-04-21T10:49:00Z</cp:lastPrinted>
  <dcterms:modified xsi:type="dcterms:W3CDTF">2000-04-21T14:00:00Z</dcterms:modified>
  <cp:revision>12</cp:revision>
  <dc:subject/>
  <dc:title>August 17, 1995</dc:title>
</cp:coreProperties>
</file>