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Greater Houston Partnership</w:t>
        <w:tab/>
        <w:t>November 7, 2000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Resolution of the Board of Directors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 Support of Biotechnology Parks</w:t>
      </w:r>
    </w:p>
    <w:p>
      <w:pPr>
        <w:pStyle w:val="Heading3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The Greater Houston Partnership supports the planning, funding, development and construction of private, public and joint public/private biotechnology parks in Houston to accelerate technology transfer and commercialization of life science research.</w:t>
      </w:r>
    </w:p>
    <w:p>
      <w:pPr>
        <w:pStyle w:val="Normal"/>
        <w:rPr/>
      </w:pPr>
      <w:r>
        <w:rPr/>
        <w:t xml:space="preserve">We specifically support the Southeast Texas Biotechnology Park as a catalyst for bioscience industry growth.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0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4"/>
        <w:gridCol w:w="648"/>
        <w:gridCol w:w="4320"/>
      </w:tblGrid>
      <w:tr>
        <w:trPr/>
        <w:tc>
          <w:tcPr>
            <w:tcW w:w="433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tcBorders/>
          </w:tcPr>
          <w:p>
            <w:pPr>
              <w:pStyle w:val="Normal"/>
              <w:rPr/>
            </w:pPr>
            <w:r>
              <w:rPr/>
              <w:t>James R. Royer, Chairman</w:t>
            </w:r>
          </w:p>
        </w:tc>
        <w:tc>
          <w:tcPr>
            <w:tcW w:w="6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rPr/>
            </w:pPr>
            <w:r>
              <w:rPr/>
              <w:t>Jim C. Kollaer, President &amp; CEO</w:t>
            </w:r>
          </w:p>
        </w:tc>
      </w:tr>
      <w:tr>
        <w:trPr/>
        <w:tc>
          <w:tcPr>
            <w:tcW w:w="433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433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tcBorders/>
          </w:tcPr>
          <w:p>
            <w:pPr>
              <w:pStyle w:val="Normal"/>
              <w:rPr/>
            </w:pPr>
            <w:r>
              <w:rPr/>
              <w:t>R. Bruce  LaBoon, Secretary</w:t>
            </w:r>
          </w:p>
        </w:tc>
        <w:tc>
          <w:tcPr>
            <w:tcW w:w="6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480" w:after="240"/>
        <w:rPr>
          <w:sz w:val="28"/>
        </w:rPr>
      </w:pPr>
      <w:r>
        <w:rPr>
          <w:sz w:val="28"/>
        </w:rPr>
      </w:r>
    </w:p>
    <w:p>
      <w:pPr>
        <w:pStyle w:val="Normal"/>
        <w:spacing w:before="480" w:after="240"/>
        <w:rPr/>
      </w:pPr>
      <w:r>
        <w:rPr/>
        <w:t>MEMORANDUM</w:t>
      </w:r>
    </w:p>
    <w:tbl>
      <w:tblPr>
        <w:tblW w:w="9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656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0" w:name="memodate"/>
            <w:bookmarkEnd w:id="0"/>
            <w:r>
              <w:rPr/>
              <w:t>November 7, 2000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1" w:name="Distribution"/>
            <w:bookmarkEnd w:id="1"/>
            <w:r>
              <w:rPr/>
              <w:t>Jim Royer, Chairman</w:t>
            </w:r>
          </w:p>
          <w:p>
            <w:pPr>
              <w:pStyle w:val="Normal"/>
              <w:rPr/>
            </w:pPr>
            <w:r>
              <w:rPr/>
              <w:t>Board of Directors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2" w:name="Source"/>
            <w:bookmarkEnd w:id="2"/>
            <w:r>
              <w:rPr/>
              <w:t>Charles Foster, Chairman</w:t>
            </w:r>
          </w:p>
          <w:p>
            <w:pPr>
              <w:pStyle w:val="Normal"/>
              <w:rPr/>
            </w:pPr>
            <w:r>
              <w:rPr/>
              <w:t>Economic Development Advisory Committee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3" w:name="Subject"/>
            <w:bookmarkEnd w:id="3"/>
            <w:r>
              <w:rPr/>
              <w:t>Resolution Supporting Biotechnology Parks</w:t>
            </w:r>
          </w:p>
        </w:tc>
      </w:tr>
    </w:tbl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pBdr>
          <w:bottom w:val="single" w:sz="6" w:space="1" w:color="000000"/>
        </w:pBdr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Heading1"/>
        <w:ind w:hanging="0" w:start="0"/>
        <w:rPr/>
      </w:pPr>
      <w:r>
        <w:rPr/>
        <w:t>RECOMMENDATION</w:t>
      </w:r>
    </w:p>
    <w:p>
      <w:pPr>
        <w:pStyle w:val="Normal"/>
        <w:rPr/>
      </w:pPr>
      <w:r>
        <w:rPr/>
        <w:t>The Greater Houston Partnership supports the planning, funding, development and construction of private, public and joint public/private biotechnology parks in Houston to accelerate technology transfer and commercialization of life science research.</w:t>
      </w:r>
    </w:p>
    <w:p>
      <w:pPr>
        <w:pStyle w:val="Normal"/>
        <w:rPr/>
      </w:pPr>
      <w:r>
        <w:rPr/>
        <w:t xml:space="preserve">We specifically support the Southeast Texas Biotechnology Park as a catalyst for bioscience industry growth.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BACKGROUND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Biotechnology is a target market for the Economic Development Division recruitment and expansion assistance.  Support for private, public and joint private/public research space will enable Houston to meet market demand for affordable space.  Additionally, broad support for life sciences will advance Houston’s reputation as a desirable community for the brightest and best scientists.  Combining available, affordable space with world-class talent will lead to increased commercialization of the area’s vast life science research.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Heading1"/>
        <w:ind w:hanging="0" w:start="0"/>
        <w:rPr/>
      </w:pPr>
      <w:r>
        <w:rPr/>
        <w:t>IMPLEMENTATION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Communicate and advocate this position statement.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b/>
          <w:bCs/>
        </w:rPr>
      </w:pPr>
      <w:r>
        <w:rPr>
          <w:b/>
          <w:bCs/>
        </w:rPr>
        <w:t>RESOURCES REQUIRED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This position can be implemented within current budgetary constraints.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sectPr>
      <w:type w:val="nextPage"/>
      <w:pgSz w:w="12240" w:h="15840"/>
      <w:pgMar w:left="1685" w:right="1685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40" w:leader="none"/>
      </w:tabs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bottom w:val="single" w:sz="6" w:space="1" w:color="000000"/>
      </w:pBdr>
      <w:overflowPunct w:val="false"/>
      <w:autoSpaceDE w:val="false"/>
      <w:jc w:val="center"/>
      <w:textAlignment w:val="baseline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6" w:space="12" w:color="000000"/>
        <w:bottom w:val="single" w:sz="6" w:space="12" w:color="000000"/>
      </w:pBdr>
      <w:tabs>
        <w:tab w:val="clear" w:pos="720"/>
        <w:tab w:val="right" w:pos="8910" w:leader="none"/>
      </w:tabs>
      <w:overflowPunct w:val="false"/>
      <w:autoSpaceDE w:val="false"/>
      <w:textAlignment w:val="baseline"/>
      <w:outlineLvl w:val="3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GHPNumbers">
    <w:name w:val="GHP Numbers"/>
    <w:basedOn w:val="Normal"/>
    <w:qFormat/>
    <w:pPr>
      <w:numPr>
        <w:ilvl w:val="0"/>
        <w:numId w:val="2"/>
      </w:numPr>
      <w:ind w:hanging="360" w:start="1080" w:end="0"/>
    </w:pPr>
    <w:rPr/>
  </w:style>
  <w:style w:type="paragraph" w:styleId="GHPBullets">
    <w:name w:val="GHP Bullets"/>
    <w:basedOn w:val="Normal"/>
    <w:qFormat/>
    <w:pPr>
      <w:numPr>
        <w:ilvl w:val="0"/>
        <w:numId w:val="3"/>
      </w:numPr>
      <w:ind w:hanging="360" w:start="10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Memorandum97.dot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2000-11-06T18:45:00Z</dcterms:created>
  <dc:creator>Advocate for Houston Business</dc:creator>
  <dc:description/>
  <dc:language>en-CA</dc:language>
  <cp:lastModifiedBy>Arlene McCarty</cp:lastModifiedBy>
  <cp:lastPrinted>2000-11-06T14:17:00Z</cp:lastPrinted>
  <dcterms:modified xsi:type="dcterms:W3CDTF">2000-11-06T18:45:00Z</dcterms:modified>
  <cp:revision>2</cp:revision>
  <dc:subject/>
  <dc:title>MEMORANDUM</dc:title>
</cp:coreProperties>
</file>