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Billing Credits for CTA-Consolidated Billing</w:t>
      </w:r>
    </w:p>
    <w:p>
      <w:pPr>
        <w:pStyle w:val="Normal"/>
        <w:rPr/>
      </w:pPr>
      <w:r>
        <w:rPr/>
      </w:r>
    </w:p>
    <w:p>
      <w:pPr>
        <w:pStyle w:val="BodyTextIndent"/>
        <w:ind w:start="0" w:end="0"/>
        <w:rPr>
          <w:sz w:val="22"/>
        </w:rPr>
      </w:pPr>
      <w:r>
        <w:rPr>
          <w:sz w:val="22"/>
        </w:rPr>
      </w:r>
    </w:p>
    <w:p>
      <w:pPr>
        <w:pStyle w:val="BodyTextIndent"/>
        <w:ind w:start="0" w:end="0"/>
        <w:rPr>
          <w:sz w:val="22"/>
        </w:rPr>
      </w:pPr>
      <w:r>
        <w:rPr>
          <w:sz w:val="22"/>
        </w:rPr>
        <w:t>Beginning in October 2000, customers of CTAs that receive CTA-consolidated billing may receive a billing credit to their transportation rate.  To receive this credit, the CTA providing Consolidated Billing must include certain information on their bills and must use the approved Electronic Data Interchange (EDI) for exchanging billing information with PG&amp;E.  If the CTA’s Consolidated Billing qualifies for a credit, PG&amp;E will no longer send the customers of that CTA a monthly information-only bill.  These credits will apply for both gas-only and dual-commodity customers.</w:t>
      </w:r>
    </w:p>
    <w:p>
      <w:pPr>
        <w:pStyle w:val="BodyTextIndent"/>
        <w:ind w:start="0" w:end="0"/>
        <w:rPr>
          <w:sz w:val="22"/>
        </w:rPr>
      </w:pPr>
      <w:r>
        <w:rPr>
          <w:sz w:val="22"/>
        </w:rPr>
      </w:r>
    </w:p>
    <w:p>
      <w:pPr>
        <w:pStyle w:val="BodyTextIndent"/>
        <w:ind w:start="0" w:end="0"/>
        <w:rPr>
          <w:sz w:val="22"/>
        </w:rPr>
      </w:pPr>
      <w:r>
        <w:rPr>
          <w:sz w:val="22"/>
        </w:rPr>
      </w:r>
    </w:p>
    <w:p>
      <w:pPr>
        <w:pStyle w:val="BodyTextIndent"/>
        <w:ind w:start="0" w:end="0"/>
        <w:rPr>
          <w:b/>
          <w:bCs/>
          <w:sz w:val="22"/>
        </w:rPr>
      </w:pPr>
      <w:r>
        <w:rPr>
          <w:b/>
          <w:bCs/>
          <w:sz w:val="22"/>
        </w:rPr>
        <w:t>Eligibility</w:t>
      </w:r>
    </w:p>
    <w:p>
      <w:pPr>
        <w:pStyle w:val="BodyTextIndent"/>
        <w:ind w:start="0" w:end="0"/>
        <w:rPr>
          <w:b/>
          <w:bCs/>
          <w:sz w:val="22"/>
        </w:rPr>
      </w:pPr>
      <w:r>
        <w:rPr>
          <w:b/>
          <w:bCs/>
          <w:sz w:val="22"/>
        </w:rPr>
      </w:r>
    </w:p>
    <w:p>
      <w:pPr>
        <w:pStyle w:val="BodyTextIndent"/>
        <w:rPr>
          <w:sz w:val="22"/>
        </w:rPr>
      </w:pPr>
      <w:r>
        <w:rPr>
          <w:sz w:val="22"/>
        </w:rPr>
        <w:t xml:space="preserve">To receive billing credits on behalf of their customers, CTAs must: </w:t>
      </w:r>
    </w:p>
    <w:p>
      <w:pPr>
        <w:pStyle w:val="BodyTextIndent"/>
        <w:numPr>
          <w:ilvl w:val="0"/>
          <w:numId w:val="2"/>
        </w:numPr>
        <w:rPr>
          <w:sz w:val="22"/>
        </w:rPr>
      </w:pPr>
      <w:r>
        <w:rPr>
          <w:sz w:val="22"/>
        </w:rPr>
        <w:t xml:space="preserve">provide CTA-consolidated billing; </w:t>
      </w:r>
    </w:p>
    <w:p>
      <w:pPr>
        <w:pStyle w:val="BodyTextIndent"/>
        <w:numPr>
          <w:ilvl w:val="0"/>
          <w:numId w:val="2"/>
        </w:numPr>
        <w:rPr>
          <w:sz w:val="22"/>
        </w:rPr>
      </w:pPr>
      <w:r>
        <w:rPr>
          <w:sz w:val="22"/>
        </w:rPr>
        <w:t xml:space="preserve">execute a </w:t>
      </w:r>
      <w:r>
        <w:rPr>
          <w:sz w:val="22"/>
          <w:u w:val="single"/>
        </w:rPr>
        <w:t>Core Transport Agent Billing Agreement</w:t>
      </w:r>
      <w:r>
        <w:rPr>
          <w:sz w:val="22"/>
        </w:rPr>
        <w:t xml:space="preserve"> (Attachment K); and </w:t>
      </w:r>
    </w:p>
    <w:p>
      <w:pPr>
        <w:pStyle w:val="BodyTextIndent"/>
        <w:numPr>
          <w:ilvl w:val="0"/>
          <w:numId w:val="2"/>
        </w:numPr>
        <w:rPr>
          <w:sz w:val="22"/>
        </w:rPr>
      </w:pPr>
      <w:r>
        <w:rPr>
          <w:sz w:val="22"/>
        </w:rPr>
        <w:t>use Electronic Data Interchange (EDI) to exchange billing data with PG&amp;E.</w:t>
      </w:r>
    </w:p>
    <w:p>
      <w:pPr>
        <w:pStyle w:val="Normal"/>
        <w:ind w:start="720" w:end="0"/>
        <w:jc w:val="both"/>
        <w:rPr>
          <w:sz w:val="22"/>
        </w:rPr>
      </w:pPr>
      <w:r>
        <w:rPr>
          <w:sz w:val="22"/>
        </w:rPr>
      </w:r>
    </w:p>
    <w:p>
      <w:pPr>
        <w:pStyle w:val="Heading3"/>
        <w:ind w:hanging="0" w:start="0"/>
        <w:rPr>
          <w:sz w:val="22"/>
        </w:rPr>
      </w:pPr>
      <w:r>
        <w:rPr>
          <w:sz w:val="22"/>
        </w:rPr>
        <w:t>Calculation and Delivery of Credits</w:t>
      </w:r>
    </w:p>
    <w:p>
      <w:pPr>
        <w:pStyle w:val="Normal"/>
        <w:rPr>
          <w:sz w:val="22"/>
        </w:rPr>
      </w:pPr>
      <w:r>
        <w:rPr>
          <w:sz w:val="22"/>
        </w:rPr>
      </w:r>
    </w:p>
    <w:p>
      <w:pPr>
        <w:pStyle w:val="BodyTextIndent"/>
        <w:rPr/>
      </w:pPr>
      <w:r>
        <w:rPr>
          <w:sz w:val="22"/>
        </w:rPr>
        <w:t>PG&amp;E will determine which customers are eligible for billing credits on the 15</w:t>
      </w:r>
      <w:r>
        <w:rPr>
          <w:sz w:val="22"/>
          <w:vertAlign w:val="superscript"/>
        </w:rPr>
        <w:t>th</w:t>
      </w:r>
      <w:r>
        <w:rPr>
          <w:sz w:val="22"/>
        </w:rPr>
        <w:t xml:space="preserve"> calendar day of each month.  Billing credits for a given month will be calculated based on those accounts that have been switched to CTA-consolidated billing by the 15</w:t>
      </w:r>
      <w:r>
        <w:rPr>
          <w:sz w:val="22"/>
          <w:vertAlign w:val="superscript"/>
        </w:rPr>
        <w:t>th</w:t>
      </w:r>
      <w:r>
        <w:rPr>
          <w:sz w:val="22"/>
        </w:rPr>
        <w:t>.  PG&amp;E will deliver credits to customers receiving CTA-consolidated billing services via checks sent to the CTA each month.</w:t>
      </w:r>
    </w:p>
    <w:p>
      <w:pPr>
        <w:pStyle w:val="Normal"/>
        <w:ind w:start="720" w:end="0"/>
        <w:jc w:val="both"/>
        <w:rPr>
          <w:sz w:val="22"/>
        </w:rPr>
      </w:pPr>
      <w:r>
        <w:rPr>
          <w:sz w:val="22"/>
        </w:rPr>
      </w:r>
    </w:p>
    <w:p>
      <w:pPr>
        <w:pStyle w:val="Heading3"/>
        <w:ind w:hanging="0" w:start="0"/>
        <w:rPr>
          <w:sz w:val="22"/>
        </w:rPr>
      </w:pPr>
      <w:r>
        <w:rPr>
          <w:sz w:val="22"/>
        </w:rPr>
        <w:t>Credit Amounts</w:t>
      </w:r>
    </w:p>
    <w:p>
      <w:pPr>
        <w:pStyle w:val="Normal"/>
        <w:rPr>
          <w:sz w:val="22"/>
        </w:rPr>
      </w:pPr>
      <w:r>
        <w:rPr>
          <w:sz w:val="22"/>
        </w:rPr>
      </w:r>
    </w:p>
    <w:p>
      <w:pPr>
        <w:pStyle w:val="BodyTextIndent"/>
        <w:rPr/>
      </w:pPr>
      <w:r>
        <w:rPr>
          <w:sz w:val="22"/>
          <w:u w:val="single"/>
        </w:rPr>
        <w:t>Residential</w:t>
      </w:r>
      <w:r>
        <w:rPr>
          <w:sz w:val="22"/>
        </w:rPr>
        <w:t xml:space="preserve"> gas customers will receive a billing credit $0.71 per account per month.  </w:t>
      </w:r>
    </w:p>
    <w:p>
      <w:pPr>
        <w:pStyle w:val="Normal"/>
        <w:ind w:start="720" w:end="0"/>
        <w:jc w:val="both"/>
        <w:rPr/>
      </w:pPr>
      <w:r>
        <w:rPr>
          <w:sz w:val="22"/>
          <w:u w:val="single"/>
        </w:rPr>
        <w:t>Non-Residential</w:t>
      </w:r>
      <w:r>
        <w:rPr>
          <w:sz w:val="22"/>
        </w:rPr>
        <w:t xml:space="preserve"> gas customers will receive a credit of $1.00 per account per month.</w:t>
      </w:r>
    </w:p>
    <w:p>
      <w:pPr>
        <w:pStyle w:val="BodyTextIndent"/>
        <w:rPr>
          <w:sz w:val="22"/>
        </w:rPr>
      </w:pPr>
      <w:r>
        <w:rPr>
          <w:sz w:val="22"/>
        </w:rPr>
      </w:r>
    </w:p>
    <w:p>
      <w:pPr>
        <w:pStyle w:val="BodyTextIndent"/>
        <w:ind w:start="0" w:end="0"/>
        <w:rPr>
          <w:b/>
          <w:bCs/>
          <w:sz w:val="22"/>
        </w:rPr>
      </w:pPr>
      <w:r>
        <w:rPr>
          <w:b/>
          <w:bCs/>
          <w:sz w:val="22"/>
        </w:rPr>
        <w:t>Electronic Data Interchange (EDI)</w:t>
      </w:r>
    </w:p>
    <w:p>
      <w:pPr>
        <w:pStyle w:val="BodyTextIndent"/>
        <w:ind w:start="0" w:end="0"/>
        <w:rPr>
          <w:b/>
          <w:bCs/>
          <w:sz w:val="22"/>
        </w:rPr>
      </w:pPr>
      <w:r>
        <w:rPr>
          <w:b/>
          <w:bCs/>
          <w:sz w:val="22"/>
        </w:rPr>
      </w:r>
    </w:p>
    <w:p>
      <w:pPr>
        <w:pStyle w:val="BodyTextIndent"/>
        <w:rPr/>
      </w:pPr>
      <w:r>
        <w:rPr>
          <w:sz w:val="22"/>
        </w:rPr>
        <w:t>CTAs must use EDI to exchange billing data with PG&amp;E to be eligible.  CTAs will be paid only for those accounts that have transferred to EDI by the 15</w:t>
      </w:r>
      <w:r>
        <w:rPr>
          <w:sz w:val="22"/>
          <w:vertAlign w:val="superscript"/>
        </w:rPr>
        <w:t>th</w:t>
      </w:r>
      <w:r>
        <w:rPr>
          <w:sz w:val="22"/>
        </w:rPr>
        <w:t xml:space="preserve"> of the month.  If a CTA is currently providing CTA-Consolidated billing, but has not begun to use EDI, the process of transferring accounts to EDI may take as long as four months to complete.  CTAs should visit PG&amp;E’s web site, at </w:t>
      </w:r>
      <w:hyperlink r:id="rId2">
        <w:r>
          <w:rPr>
            <w:rStyle w:val="Hyperlink"/>
            <w:sz w:val="22"/>
          </w:rPr>
          <w:t>www.pge.com/edi</w:t>
        </w:r>
      </w:hyperlink>
      <w:r>
        <w:rPr>
          <w:sz w:val="22"/>
        </w:rPr>
        <w:t>, for information on the EDI protocol and to obtain contact information at PG&amp;E.  Your Account Manager can also assist you with this process.</w:t>
      </w:r>
    </w:p>
    <w:p>
      <w:pPr>
        <w:pStyle w:val="BodyTextIndent"/>
        <w:rPr>
          <w:sz w:val="22"/>
        </w:rPr>
      </w:pPr>
      <w:r>
        <w:rPr>
          <w:sz w:val="22"/>
        </w:rPr>
      </w:r>
    </w:p>
    <w:p>
      <w:pPr>
        <w:pStyle w:val="BodyTextIndent"/>
        <w:ind w:start="0" w:end="0"/>
        <w:rPr>
          <w:b/>
          <w:bCs/>
          <w:sz w:val="22"/>
        </w:rPr>
      </w:pPr>
      <w:r>
        <w:rPr>
          <w:b/>
          <w:bCs/>
          <w:sz w:val="22"/>
        </w:rPr>
        <w:t xml:space="preserve">Attachment K </w:t>
      </w:r>
    </w:p>
    <w:p>
      <w:pPr>
        <w:pStyle w:val="BodyTextIndent"/>
        <w:ind w:start="0" w:end="0"/>
        <w:rPr>
          <w:b/>
          <w:bCs/>
          <w:sz w:val="22"/>
        </w:rPr>
      </w:pPr>
      <w:r>
        <w:rPr>
          <w:b/>
          <w:bCs/>
          <w:sz w:val="22"/>
        </w:rPr>
      </w:r>
    </w:p>
    <w:p>
      <w:pPr>
        <w:pStyle w:val="BodyTextIndent"/>
        <w:rPr>
          <w:sz w:val="22"/>
        </w:rPr>
      </w:pPr>
      <w:r>
        <w:rPr>
          <w:sz w:val="22"/>
        </w:rPr>
        <w:t xml:space="preserve">CTAs must execute Attachment K (Core Transport Agent Billing Agreement) to be eligible.  This agreement states that in lieu of PG&amp;E sending an information-only bill to a CTA’s customers each month, the CTA will be responsible for providing end-users with the requisite billing and customer protection information.  Billing credits will be provided as long as PG&amp;E no longer needs to send an information-only bill to end-users served by a CTA providing CTA-consolidated billing.  </w:t>
      </w:r>
    </w:p>
    <w:p>
      <w:pPr>
        <w:pStyle w:val="BodyTextIndent"/>
        <w:rPr>
          <w:sz w:val="22"/>
        </w:rPr>
      </w:pPr>
      <w:r>
        <w:rPr>
          <w:sz w:val="22"/>
        </w:rPr>
      </w:r>
    </w:p>
    <w:p>
      <w:pPr>
        <w:pStyle w:val="BodyTextIndent"/>
        <w:rPr>
          <w:sz w:val="22"/>
        </w:rPr>
      </w:pPr>
      <w:r>
        <w:rPr>
          <w:sz w:val="22"/>
        </w:rPr>
      </w:r>
    </w:p>
    <w:p>
      <w:pPr>
        <w:pStyle w:val="BodyTextIndent"/>
        <w:rPr>
          <w:sz w:val="22"/>
        </w:rPr>
      </w:pPr>
      <w:r>
        <w:rPr>
          <w:sz w:val="22"/>
        </w:rPr>
      </w:r>
    </w:p>
    <w:p>
      <w:pPr>
        <w:pStyle w:val="BodyTextIndent"/>
        <w:rPr>
          <w:sz w:val="22"/>
        </w:rPr>
      </w:pPr>
      <w:r>
        <w:rPr>
          <w:sz w:val="22"/>
        </w:rPr>
        <w:t>Important provisions of Attachment K are described below:</w:t>
      </w:r>
    </w:p>
    <w:p>
      <w:pPr>
        <w:pStyle w:val="BodyTextIndent"/>
        <w:rPr>
          <w:sz w:val="22"/>
        </w:rPr>
      </w:pPr>
      <w:r>
        <w:rPr>
          <w:sz w:val="22"/>
        </w:rPr>
      </w:r>
    </w:p>
    <w:p>
      <w:pPr>
        <w:pStyle w:val="BodyTextIndent"/>
        <w:rPr>
          <w:b/>
          <w:bCs/>
          <w:i/>
          <w:i/>
          <w:iCs/>
          <w:sz w:val="22"/>
        </w:rPr>
      </w:pPr>
      <w:r>
        <w:rPr>
          <w:b/>
          <w:bCs/>
          <w:i/>
          <w:iCs/>
          <w:sz w:val="22"/>
        </w:rPr>
        <w:t>Credits, Billing, and Customer Protection Information</w:t>
      </w:r>
    </w:p>
    <w:p>
      <w:pPr>
        <w:pStyle w:val="BodyTextIndent"/>
        <w:rPr>
          <w:b/>
          <w:bCs/>
          <w:i/>
          <w:i/>
          <w:iCs/>
          <w:sz w:val="22"/>
        </w:rPr>
      </w:pPr>
      <w:r>
        <w:rPr>
          <w:b/>
          <w:bCs/>
          <w:i/>
          <w:iCs/>
          <w:sz w:val="22"/>
        </w:rPr>
      </w:r>
    </w:p>
    <w:p>
      <w:pPr>
        <w:pStyle w:val="BodyTextIndent"/>
        <w:ind w:start="1440" w:end="0"/>
        <w:rPr>
          <w:sz w:val="22"/>
        </w:rPr>
      </w:pPr>
      <w:r>
        <w:rPr>
          <w:sz w:val="22"/>
        </w:rPr>
        <w:t xml:space="preserve">CTAs will be responsible for presenting PG&amp;E-provided charges, bill inserts, and consumer protection information in each end-user bill.  PG&amp;E will provide bill inserts to CTAs in an electronic format every month.  CTAs that request hardcopy bill inserts will be charged for PG&amp;E’s out-of-pocket shipping costs.  CTAs will also be responsible for including a statement of Market-Index Commodity Price or PG&amp;E’s core procurement price in each end-user bill.  PG&amp;E’s core procurement price is posted on our web site (PG&amp;E’s web tariff book) and is included in the EDI transmission of customer billing information to the CTA.  </w:t>
      </w:r>
    </w:p>
    <w:p>
      <w:pPr>
        <w:pStyle w:val="BodyTextIndent"/>
        <w:rPr>
          <w:sz w:val="22"/>
        </w:rPr>
      </w:pPr>
      <w:r>
        <w:rPr>
          <w:sz w:val="22"/>
        </w:rPr>
      </w:r>
    </w:p>
    <w:p>
      <w:pPr>
        <w:pStyle w:val="BodyTextIndent"/>
        <w:rPr>
          <w:b/>
          <w:bCs/>
          <w:i/>
          <w:i/>
          <w:iCs/>
          <w:sz w:val="22"/>
        </w:rPr>
      </w:pPr>
      <w:r>
        <w:rPr>
          <w:b/>
          <w:bCs/>
          <w:i/>
          <w:iCs/>
          <w:sz w:val="22"/>
        </w:rPr>
        <w:t>Written Notification</w:t>
      </w:r>
    </w:p>
    <w:p>
      <w:pPr>
        <w:pStyle w:val="BodyTextIndent"/>
        <w:rPr>
          <w:b/>
          <w:bCs/>
          <w:i/>
          <w:i/>
          <w:iCs/>
          <w:sz w:val="22"/>
        </w:rPr>
      </w:pPr>
      <w:r>
        <w:rPr>
          <w:b/>
          <w:bCs/>
          <w:i/>
          <w:iCs/>
          <w:sz w:val="22"/>
        </w:rPr>
      </w:r>
    </w:p>
    <w:p>
      <w:pPr>
        <w:pStyle w:val="BodyTextIndent"/>
        <w:ind w:start="1440" w:end="0"/>
        <w:rPr>
          <w:sz w:val="22"/>
        </w:rPr>
      </w:pPr>
      <w:r>
        <w:rPr>
          <w:sz w:val="22"/>
        </w:rPr>
        <w:t xml:space="preserve">Within 15 calendar days of the execution of Attachment K, CTAs must provide to the Energy Division of the California Public Utilities Commission a copy of a proposed written notification to each of their end-users receiving CTA-consolidated billing.  The notice will explain that as of certain date, PG&amp;E will no longer be sending an information-only bill.  Within 30 calendar days of the execution of Attachment K, CTAs must provide such written notification to their end-users.  </w:t>
      </w:r>
    </w:p>
    <w:p>
      <w:pPr>
        <w:pStyle w:val="BodyTextIndent"/>
        <w:ind w:start="1440" w:end="0"/>
        <w:rPr>
          <w:sz w:val="22"/>
        </w:rPr>
      </w:pPr>
      <w:r>
        <w:rPr>
          <w:sz w:val="22"/>
        </w:rPr>
      </w:r>
    </w:p>
    <w:p>
      <w:pPr>
        <w:pStyle w:val="BodyTextIndent"/>
        <w:rPr>
          <w:b/>
          <w:bCs/>
          <w:i/>
          <w:i/>
          <w:iCs/>
          <w:sz w:val="22"/>
        </w:rPr>
      </w:pPr>
      <w:r>
        <w:rPr>
          <w:b/>
          <w:bCs/>
          <w:i/>
          <w:iCs/>
          <w:sz w:val="22"/>
        </w:rPr>
        <w:t>Dispute Resolution and Audits</w:t>
      </w:r>
    </w:p>
    <w:p>
      <w:pPr>
        <w:pStyle w:val="BodyTextIndent"/>
        <w:rPr>
          <w:b/>
          <w:bCs/>
          <w:i/>
          <w:i/>
          <w:iCs/>
          <w:sz w:val="22"/>
        </w:rPr>
      </w:pPr>
      <w:r>
        <w:rPr>
          <w:b/>
          <w:bCs/>
          <w:i/>
          <w:iCs/>
          <w:sz w:val="22"/>
        </w:rPr>
      </w:r>
    </w:p>
    <w:p>
      <w:pPr>
        <w:pStyle w:val="BodyTextIndent"/>
        <w:ind w:start="1440" w:end="0"/>
        <w:rPr>
          <w:sz w:val="22"/>
        </w:rPr>
      </w:pPr>
      <w:r>
        <w:rPr>
          <w:sz w:val="22"/>
        </w:rPr>
        <w:t>If the CTA or PG&amp;E believes that an error has occurred, either party may request the production of documents to substantiate fulfillment of the obligations under this agreement.  If the requesting party believes the agreement has been breached, it may request an audit.  The right to audit extends for a period of three years following the date of termination of the agreement.</w:t>
      </w:r>
    </w:p>
    <w:p>
      <w:pPr>
        <w:pStyle w:val="BodyTextIndent"/>
        <w:ind w:start="1440" w:end="0"/>
        <w:rPr>
          <w:sz w:val="22"/>
        </w:rPr>
      </w:pPr>
      <w:r>
        <w:rPr>
          <w:sz w:val="22"/>
        </w:rPr>
      </w:r>
    </w:p>
    <w:p>
      <w:pPr>
        <w:pStyle w:val="BodyTextIndent"/>
        <w:ind w:start="0" w:end="0"/>
        <w:rPr>
          <w:b/>
          <w:bCs/>
          <w:sz w:val="22"/>
        </w:rPr>
      </w:pPr>
      <w:r>
        <w:rPr>
          <w:b/>
          <w:bCs/>
          <w:sz w:val="22"/>
        </w:rPr>
        <w:t xml:space="preserve">Schedule </w:t>
      </w:r>
    </w:p>
    <w:p>
      <w:pPr>
        <w:pStyle w:val="BodyTextIndent"/>
        <w:ind w:start="0" w:end="0"/>
        <w:rPr>
          <w:b/>
          <w:bCs/>
          <w:sz w:val="22"/>
        </w:rPr>
      </w:pPr>
      <w:r>
        <w:rPr>
          <w:b/>
          <w:bCs/>
          <w:sz w:val="22"/>
        </w:rPr>
      </w:r>
    </w:p>
    <w:p>
      <w:pPr>
        <w:pStyle w:val="BodyTextIndent"/>
        <w:rPr>
          <w:sz w:val="22"/>
        </w:rPr>
      </w:pPr>
      <w:r>
        <w:rPr>
          <w:sz w:val="22"/>
        </w:rPr>
        <w:t xml:space="preserve">Provided PG&amp;E receives an executed Attachment K from the CTA by October 15, 2000, and all other eligibility requirements have been met, the CTA should receive its first check, along with a cover letter, and a list of customers receiving the credit in early November 2000.  </w:t>
      </w:r>
    </w:p>
    <w:p>
      <w:pPr>
        <w:pStyle w:val="BodyTextIndent"/>
        <w:rPr>
          <w:sz w:val="22"/>
        </w:rPr>
      </w:pPr>
      <w:r>
        <w:rPr>
          <w:sz w:val="22"/>
        </w:rPr>
      </w:r>
    </w:p>
    <w:p>
      <w:pPr>
        <w:pStyle w:val="BodyTextIndent"/>
        <w:ind w:start="0" w:end="0"/>
        <w:rPr>
          <w:b/>
          <w:bCs/>
          <w:sz w:val="22"/>
        </w:rPr>
      </w:pPr>
      <w:r>
        <w:rPr>
          <w:b/>
          <w:bCs/>
          <w:sz w:val="22"/>
        </w:rPr>
        <w:t>Tariffs and Forms</w:t>
      </w:r>
    </w:p>
    <w:p>
      <w:pPr>
        <w:pStyle w:val="BodyTextIndent"/>
        <w:ind w:start="0" w:end="0"/>
        <w:rPr>
          <w:b/>
          <w:bCs/>
          <w:sz w:val="22"/>
        </w:rPr>
      </w:pPr>
      <w:r>
        <w:rPr>
          <w:b/>
          <w:bCs/>
          <w:sz w:val="22"/>
        </w:rPr>
      </w:r>
    </w:p>
    <w:p>
      <w:pPr>
        <w:pStyle w:val="BodyTextIndent"/>
        <w:rPr>
          <w:sz w:val="22"/>
        </w:rPr>
      </w:pPr>
      <w:r>
        <w:rPr>
          <w:sz w:val="22"/>
        </w:rPr>
        <w:t>Several changes were made to the PG&amp;E Gas Tariff to implement billing credits for end-users served by a CTA providing CTA-Consolidated Billing.  Copies of the following rate schedules and forms are enclosed.</w:t>
      </w:r>
    </w:p>
    <w:p>
      <w:pPr>
        <w:pStyle w:val="BodyTextIndent"/>
        <w:rPr>
          <w:sz w:val="22"/>
        </w:rPr>
      </w:pPr>
      <w:r>
        <w:rPr>
          <w:sz w:val="22"/>
        </w:rPr>
      </w:r>
    </w:p>
    <w:p>
      <w:pPr>
        <w:pStyle w:val="BodyTextIndent"/>
        <w:numPr>
          <w:ilvl w:val="0"/>
          <w:numId w:val="3"/>
        </w:numPr>
        <w:rPr>
          <w:sz w:val="22"/>
          <w:u w:val="single"/>
        </w:rPr>
      </w:pPr>
      <w:r>
        <w:rPr>
          <w:sz w:val="22"/>
          <w:u w:val="single"/>
        </w:rPr>
        <w:t>Rate Schedule G-CRED – Billing Credits for CTA-Consolidated Billing</w:t>
      </w:r>
    </w:p>
    <w:p>
      <w:pPr>
        <w:pStyle w:val="BodyTextIndent"/>
        <w:ind w:start="2160" w:end="0"/>
        <w:rPr>
          <w:sz w:val="22"/>
        </w:rPr>
      </w:pPr>
      <w:r>
        <w:rPr>
          <w:sz w:val="22"/>
        </w:rPr>
        <w:t>This schedule describes the eligibility requirements for billing credits, the billing credit amounts by customer class, and the method for calculating and delivering the credits.</w:t>
      </w:r>
      <w:r>
        <w:br w:type="page"/>
      </w:r>
    </w:p>
    <w:p>
      <w:pPr>
        <w:pStyle w:val="BodyTextIndent"/>
        <w:ind w:start="2160" w:end="0"/>
        <w:rPr>
          <w:sz w:val="22"/>
        </w:rPr>
      </w:pPr>
      <w:r>
        <w:rPr>
          <w:sz w:val="22"/>
        </w:rPr>
      </w:r>
    </w:p>
    <w:p>
      <w:pPr>
        <w:pStyle w:val="BodyTextIndent"/>
        <w:numPr>
          <w:ilvl w:val="0"/>
          <w:numId w:val="3"/>
        </w:numPr>
        <w:rPr>
          <w:sz w:val="22"/>
          <w:u w:val="single"/>
        </w:rPr>
      </w:pPr>
      <w:r>
        <w:rPr>
          <w:sz w:val="22"/>
          <w:u w:val="single"/>
        </w:rPr>
        <w:t>Attachment K</w:t>
      </w:r>
    </w:p>
    <w:p>
      <w:pPr>
        <w:pStyle w:val="BodyTextIndent"/>
        <w:ind w:start="2160" w:end="0"/>
        <w:rPr>
          <w:sz w:val="22"/>
        </w:rPr>
      </w:pPr>
      <w:r>
        <w:rPr>
          <w:sz w:val="22"/>
        </w:rPr>
        <w:t xml:space="preserve">This form states that in lieu of PG&amp;E sending an information-only bill, you will be responsible for providing the end-user with the requisite billing and customer protection information.  CTAs must complete and return this form to PG&amp;E to be eligible to receive billing credits on behalf of its customers.   </w:t>
      </w:r>
    </w:p>
    <w:p>
      <w:pPr>
        <w:pStyle w:val="BodyTextIndent"/>
        <w:ind w:start="0" w:end="0"/>
        <w:rPr>
          <w:b/>
          <w:bCs/>
          <w:sz w:val="22"/>
        </w:rPr>
      </w:pPr>
      <w:r>
        <w:rPr>
          <w:b/>
          <w:bCs/>
          <w:sz w:val="22"/>
        </w:rPr>
        <w:t>Submission  of Attachment K</w:t>
      </w:r>
    </w:p>
    <w:p>
      <w:pPr>
        <w:pStyle w:val="BodyTextIndent"/>
        <w:ind w:start="0" w:end="0"/>
        <w:rPr>
          <w:b/>
          <w:bCs/>
          <w:sz w:val="22"/>
        </w:rPr>
      </w:pPr>
      <w:r>
        <w:rPr>
          <w:b/>
          <w:bCs/>
          <w:sz w:val="22"/>
        </w:rPr>
      </w:r>
    </w:p>
    <w:p>
      <w:pPr>
        <w:pStyle w:val="BodyTextIndent"/>
        <w:rPr>
          <w:sz w:val="22"/>
        </w:rPr>
      </w:pPr>
      <w:r>
        <w:rPr>
          <w:sz w:val="22"/>
        </w:rPr>
        <w:t>When a CTA doing Consolidated Billing is using EDI for data exchange, or has begun conversion to EDI, they may submit a completed Attachment K to ESP Services at  PG&amp;E.  This form should be sent to :</w:t>
      </w:r>
    </w:p>
    <w:p>
      <w:pPr>
        <w:pStyle w:val="BodyTextIndent"/>
        <w:ind w:start="2160" w:end="0"/>
        <w:jc w:val="start"/>
        <w:rPr>
          <w:sz w:val="22"/>
        </w:rPr>
      </w:pPr>
      <w:r>
        <w:rPr>
          <w:sz w:val="22"/>
        </w:rPr>
        <w:t>ESP Services Administration</w:t>
      </w:r>
    </w:p>
    <w:p>
      <w:pPr>
        <w:pStyle w:val="BodyTextIndent"/>
        <w:ind w:start="2160" w:end="0"/>
        <w:jc w:val="start"/>
        <w:rPr>
          <w:sz w:val="22"/>
        </w:rPr>
      </w:pPr>
      <w:r>
        <w:rPr>
          <w:sz w:val="22"/>
        </w:rPr>
        <w:t>Yolanda Lerma</w:t>
      </w:r>
    </w:p>
    <w:p>
      <w:pPr>
        <w:pStyle w:val="BodyTextIndent"/>
        <w:ind w:start="2160" w:end="0"/>
        <w:jc w:val="start"/>
        <w:rPr>
          <w:sz w:val="22"/>
        </w:rPr>
      </w:pPr>
      <w:r>
        <w:rPr>
          <w:sz w:val="22"/>
        </w:rPr>
        <w:t>Pacific Gas and Electric Company</w:t>
      </w:r>
    </w:p>
    <w:p>
      <w:pPr>
        <w:pStyle w:val="BodyTextIndent"/>
        <w:ind w:start="2160" w:end="0"/>
        <w:jc w:val="start"/>
        <w:rPr>
          <w:sz w:val="22"/>
        </w:rPr>
      </w:pPr>
      <w:r>
        <w:rPr>
          <w:sz w:val="22"/>
        </w:rPr>
        <w:t>Mail Code B19C</w:t>
      </w:r>
    </w:p>
    <w:p>
      <w:pPr>
        <w:pStyle w:val="BodyTextIndent"/>
        <w:ind w:start="2160" w:end="0"/>
        <w:jc w:val="start"/>
        <w:rPr>
          <w:sz w:val="22"/>
        </w:rPr>
      </w:pPr>
      <w:r>
        <w:rPr>
          <w:sz w:val="22"/>
        </w:rPr>
        <w:t>Box 770000</w:t>
      </w:r>
    </w:p>
    <w:p>
      <w:pPr>
        <w:pStyle w:val="BodyTextIndent"/>
        <w:ind w:start="2160" w:end="0"/>
        <w:jc w:val="start"/>
        <w:rPr>
          <w:sz w:val="22"/>
        </w:rPr>
      </w:pPr>
      <w:r>
        <w:rPr>
          <w:sz w:val="22"/>
        </w:rPr>
        <w:t>San Francisco, California 94177.</w:t>
      </w:r>
    </w:p>
    <w:p>
      <w:pPr>
        <w:pStyle w:val="BodyTextIndent"/>
        <w:ind w:start="2160" w:end="0"/>
        <w:jc w:val="start"/>
        <w:rPr>
          <w:sz w:val="22"/>
        </w:rPr>
      </w:pPr>
      <w:r>
        <w:rPr>
          <w:sz w:val="22"/>
        </w:rPr>
      </w:r>
    </w:p>
    <w:p>
      <w:pPr>
        <w:pStyle w:val="BodyTextIndent"/>
        <w:ind w:start="0" w:end="0"/>
        <w:rPr>
          <w:b/>
          <w:bCs/>
          <w:sz w:val="22"/>
        </w:rPr>
      </w:pPr>
      <w:r>
        <w:rPr>
          <w:b/>
          <w:bCs/>
          <w:sz w:val="22"/>
        </w:rPr>
        <w:t xml:space="preserve">Transmission of Bill Inserts </w:t>
      </w:r>
    </w:p>
    <w:p>
      <w:pPr>
        <w:pStyle w:val="BodyTextIndent"/>
        <w:ind w:start="2160" w:end="0"/>
        <w:jc w:val="start"/>
        <w:rPr>
          <w:b/>
          <w:bCs/>
          <w:sz w:val="22"/>
        </w:rPr>
      </w:pPr>
      <w:r>
        <w:rPr>
          <w:b/>
          <w:bCs/>
          <w:sz w:val="22"/>
        </w:rPr>
      </w:r>
    </w:p>
    <w:p>
      <w:pPr>
        <w:pStyle w:val="BodyTextIndent"/>
        <w:jc w:val="start"/>
        <w:rPr>
          <w:sz w:val="22"/>
        </w:rPr>
      </w:pPr>
      <w:r>
        <w:rPr>
          <w:sz w:val="22"/>
        </w:rPr>
        <w:t>CTAs that have executed Attachment K will be sent an electronic version of PG&amp;E bill inserts each month.  PG&amp;E will use the e-mail address that has been provided for the formal contact for each CTA, unless we are otherwise informed.  To change the e-mail address to which forms are provided, please inform:</w:t>
      </w:r>
    </w:p>
    <w:p>
      <w:pPr>
        <w:pStyle w:val="BodyTextIndent"/>
        <w:ind w:firstLine="720" w:start="1440" w:end="0"/>
        <w:jc w:val="start"/>
        <w:rPr>
          <w:sz w:val="22"/>
        </w:rPr>
      </w:pPr>
      <w:r>
        <w:rPr>
          <w:sz w:val="22"/>
        </w:rPr>
      </w:r>
    </w:p>
    <w:p>
      <w:pPr>
        <w:pStyle w:val="BodyTextIndent"/>
        <w:ind w:firstLine="720" w:start="1440" w:end="0"/>
        <w:jc w:val="start"/>
        <w:rPr/>
      </w:pPr>
      <w:r>
        <w:rPr>
          <w:sz w:val="22"/>
        </w:rPr>
        <w:t xml:space="preserve"> </w:t>
      </w:r>
      <w:r>
        <w:rPr>
          <w:sz w:val="22"/>
        </w:rPr>
        <w:t xml:space="preserve">Yolanda Lerma, at </w:t>
      </w:r>
      <w:hyperlink r:id="rId3">
        <w:r>
          <w:rPr>
            <w:rStyle w:val="Hyperlink"/>
            <w:sz w:val="22"/>
          </w:rPr>
          <w:t>yxd1@pge.com</w:t>
        </w:r>
      </w:hyperlink>
      <w:r>
        <w:rPr>
          <w:sz w:val="22"/>
        </w:rPr>
        <w:t>.</w:t>
      </w:r>
    </w:p>
    <w:p>
      <w:pPr>
        <w:pStyle w:val="BodyTextIndent"/>
        <w:jc w:val="start"/>
        <w:rPr>
          <w:sz w:val="22"/>
        </w:rPr>
      </w:pPr>
      <w:r>
        <w:rPr>
          <w:sz w:val="22"/>
        </w:rPr>
      </w:r>
    </w:p>
    <w:p>
      <w:pPr>
        <w:pStyle w:val="BodyTextIndent"/>
        <w:jc w:val="start"/>
        <w:rPr>
          <w:sz w:val="22"/>
        </w:rPr>
      </w:pPr>
      <w:r>
        <w:rPr>
          <w:sz w:val="22"/>
        </w:rPr>
        <w:t>A CTA may obtain printed copies of PG&amp;E bill inserts by contacting their Account Representative.</w:t>
      </w:r>
    </w:p>
    <w:p>
      <w:pPr>
        <w:pStyle w:val="BodyTextIndent"/>
        <w:ind w:firstLine="720" w:start="1440" w:end="0"/>
        <w:jc w:val="start"/>
        <w:rPr>
          <w:sz w:val="22"/>
        </w:rPr>
      </w:pPr>
      <w:r>
        <w:rPr>
          <w:sz w:val="22"/>
        </w:rPr>
      </w:r>
    </w:p>
    <w:p>
      <w:pPr>
        <w:pStyle w:val="BodyTextIndent"/>
        <w:jc w:val="start"/>
        <w:rPr>
          <w:sz w:val="22"/>
        </w:rPr>
      </w:pPr>
      <w:r>
        <w:rPr>
          <w:sz w:val="22"/>
        </w:rPr>
      </w:r>
    </w:p>
    <w:p>
      <w:pPr>
        <w:pStyle w:val="Headline"/>
        <w:ind w:firstLine="810" w:end="0"/>
        <w:rPr>
          <w:i/>
          <w:i/>
          <w:sz w:val="40"/>
        </w:rPr>
      </w:pPr>
      <w:r>
        <w:rPr>
          <w:i/>
          <w:sz w:val="40"/>
        </w:rPr>
        <w:t>For further information …</w:t>
      </w:r>
    </w:p>
    <w:p>
      <w:pPr>
        <w:pStyle w:val="Normal"/>
        <w:rPr>
          <w:b/>
          <w:i/>
          <w:i/>
          <w:sz w:val="40"/>
        </w:rPr>
      </w:pPr>
      <w:r>
        <w:rPr>
          <w:b/>
          <w:i/>
          <w:sz w:val="40"/>
        </w:rPr>
      </w:r>
    </w:p>
    <w:p>
      <w:pPr>
        <w:pStyle w:val="Normal"/>
        <w:rPr>
          <w:b/>
          <w:i/>
          <w:i/>
          <w:sz w:val="22"/>
        </w:rPr>
      </w:pPr>
      <w:r>
        <w:rPr>
          <w:b/>
          <w:i/>
          <w:sz w:val="22"/>
        </w:rPr>
      </w:r>
    </w:p>
    <w:p>
      <w:pPr>
        <w:pStyle w:val="Normal"/>
        <w:spacing w:lineRule="auto" w:line="360"/>
        <w:ind w:start="1620" w:end="0"/>
        <w:rPr/>
      </w:pPr>
      <w:r>
        <w:rPr>
          <w:sz w:val="22"/>
        </w:rPr>
        <w:t xml:space="preserve">Tariffs approved in the Gas Settlement OII will be available on PG&amp;E’s Web Tariff Book, at </w:t>
      </w:r>
      <w:r>
        <w:rPr>
          <w:rStyle w:val="Hyperlink"/>
          <w:sz w:val="22"/>
        </w:rPr>
        <w:t>www.pge.com</w:t>
      </w:r>
      <w:r>
        <w:rPr>
          <w:sz w:val="22"/>
        </w:rPr>
        <w:t xml:space="preserve">, about October 1.  If you need the full text before that date, please contact Jerry Miller at (415) 973-4104 or </w:t>
      </w:r>
      <w:r>
        <w:rPr>
          <w:rStyle w:val="Hyperlink"/>
          <w:sz w:val="22"/>
        </w:rPr>
        <w:t>grm8@pge.com</w:t>
      </w:r>
      <w:r>
        <w:rPr>
          <w:sz w:val="22"/>
        </w:rPr>
        <w:t xml:space="preserve">.  </w:t>
      </w:r>
    </w:p>
    <w:p>
      <w:pPr>
        <w:pStyle w:val="Normal"/>
        <w:spacing w:lineRule="auto" w:line="360"/>
        <w:rPr>
          <w:sz w:val="22"/>
        </w:rPr>
      </w:pPr>
      <w:r>
        <w:rPr>
          <w:sz w:val="22"/>
        </w:rPr>
      </w:r>
    </w:p>
    <w:p>
      <w:pPr>
        <w:pStyle w:val="BodyTextIndent2"/>
        <w:rPr>
          <w:sz w:val="22"/>
        </w:rPr>
      </w:pPr>
      <w:r>
        <w:rPr>
          <w:sz w:val="22"/>
        </w:rPr>
        <w:t xml:space="preserve">For further information on this material, please do not hesitate to call your PG&amp;E Account Manager.  </w:t>
      </w:r>
    </w:p>
    <w:p>
      <w:pPr>
        <w:pStyle w:val="BodyTextIndent"/>
        <w:jc w:val="start"/>
        <w:rPr>
          <w:b/>
          <w:bCs/>
          <w:sz w:val="22"/>
        </w:rPr>
      </w:pPr>
      <w:r>
        <w:rPr>
          <w:b/>
          <w:bCs/>
          <w:sz w:val="22"/>
        </w:rPr>
      </w:r>
    </w:p>
    <w:p>
      <w:pPr>
        <w:pStyle w:val="BodyTextIndent"/>
        <w:ind w:start="0" w:end="0"/>
        <w:rPr>
          <w:b/>
          <w:bCs/>
          <w:sz w:val="22"/>
        </w:rPr>
      </w:pPr>
      <w:r>
        <w:rPr>
          <w:b/>
          <w:bCs/>
          <w:sz w:val="22"/>
        </w:rPr>
        <w:tab/>
      </w:r>
    </w:p>
    <w:sectPr>
      <w:headerReference w:type="default" r:id="rId4"/>
      <w:footerReference w:type="default" r:id="rId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rStyle w:val="PageNumber"/>
        <w:rFonts w:cs="Arial" w:ascii="Arial" w:hAnsi="Arial"/>
        <w:i/>
        <w:iCs/>
      </w:rPr>
      <w:t>Pacific Gas and Electric Company</w:t>
    </w:r>
    <w:r>
      <w:rPr>
        <w:rStyle w:val="PageNumber"/>
      </w:rPr>
      <w:tab/>
      <w:tab/>
    </w:r>
    <w:r>
      <w:rPr>
        <w:rStyle w:val="PageNumber"/>
        <w:rFonts w:cs="Arial" w:ascii="Arial" w:hAnsi="Arial"/>
        <w:i/>
        <w:iCs/>
      </w:rPr>
      <w:t xml:space="preserve"> Page </w:t>
    </w:r>
    <w:r>
      <w:rPr>
        <w:rStyle w:val="PageNumber"/>
        <w:rFonts w:cs="Arial" w:ascii="Arial" w:hAnsi="Arial"/>
        <w:i/>
        <w:iCs/>
      </w:rPr>
      <w:fldChar w:fldCharType="begin"/>
    </w:r>
    <w:r>
      <w:rPr>
        <w:rStyle w:val="PageNumber"/>
        <w:i/>
        <w:iCs/>
        <w:rFonts w:cs="Arial" w:ascii="Arial" w:hAnsi="Arial"/>
      </w:rPr>
      <w:instrText xml:space="preserve"> PAGE </w:instrText>
    </w:r>
    <w:r>
      <w:rPr>
        <w:rStyle w:val="PageNumber"/>
        <w:i/>
        <w:iCs/>
        <w:rFonts w:cs="Arial" w:ascii="Arial" w:hAnsi="Arial"/>
      </w:rPr>
      <w:fldChar w:fldCharType="separate"/>
    </w:r>
    <w:r>
      <w:rPr>
        <w:rStyle w:val="PageNumber"/>
        <w:i/>
        <w:iCs/>
        <w:rFonts w:cs="Arial" w:ascii="Arial" w:hAnsi="Arial"/>
      </w:rPr>
      <w:t>3</w:t>
    </w:r>
    <w:r>
      <w:rPr>
        <w:rStyle w:val="PageNumber"/>
        <w:i/>
        <w:i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8640"/>
        <w:tab w:val="center" w:pos="4320" w:leader="none"/>
        <w:tab w:val="right" w:pos="9360" w:leader="none"/>
      </w:tabs>
      <w:rPr>
        <w:i/>
        <w:i/>
        <w:iCs/>
        <w:sz w:val="24"/>
      </w:rPr>
    </w:pPr>
    <w:r>
      <w:rPr>
        <w:i/>
        <w:iCs/>
        <w:sz w:val="24"/>
      </w:rPr>
      <w:t>Billing Credits for CTA-Consolidated Billing</w:t>
      <w:tab/>
      <w:t xml:space="preserve">       September 2000</w:t>
    </w:r>
  </w:p>
  <w:p>
    <w:pPr>
      <w:pStyle w:val="Header"/>
      <w:pBdr>
        <w:bottom w:val="single" w:sz="4" w:space="1" w:color="000000"/>
      </w:pBdr>
      <w:tabs>
        <w:tab w:val="clear" w:pos="8640"/>
        <w:tab w:val="center" w:pos="4320" w:leader="none"/>
        <w:tab w:val="right" w:pos="9360" w:leader="none"/>
      </w:tabs>
      <w:rPr>
        <w:i/>
        <w:i/>
        <w:iCs/>
        <w:sz w:val="24"/>
      </w:rPr>
    </w:pPr>
    <w:r>
      <w:rPr>
        <w:i/>
        <w:iCs/>
        <w:sz w:val="24"/>
      </w:rPr>
    </w:r>
  </w:p>
  <w:p>
    <w:pPr>
      <w:pStyle w:val="Header"/>
      <w:tabs>
        <w:tab w:val="clear" w:pos="8640"/>
        <w:tab w:val="center" w:pos="4320" w:leader="none"/>
        <w:tab w:val="right" w:pos="9360" w:leader="none"/>
      </w:tabs>
      <w:rPr>
        <w:i/>
        <w:i/>
        <w:iCs/>
        <w:sz w:val="24"/>
        <w:u w:val="single"/>
      </w:rPr>
    </w:pPr>
    <w:r>
      <w:rPr>
        <w:i/>
        <w:iCs/>
        <w:sz w:val="24"/>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bullet"/>
      <w:lvlText w:val=""/>
      <w:lvlJc w:val="start"/>
      <w:pPr>
        <w:tabs>
          <w:tab w:val="num" w:pos="2160"/>
        </w:tabs>
        <w:ind w:start="21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48"/>
    </w:rPr>
  </w:style>
  <w:style w:type="paragraph" w:styleId="Heading2">
    <w:name w:val="heading 2"/>
    <w:basedOn w:val="Normal"/>
    <w:next w:val="Normal"/>
    <w:qFormat/>
    <w:pPr>
      <w:keepNext w:val="true"/>
      <w:numPr>
        <w:ilvl w:val="1"/>
        <w:numId w:val="1"/>
      </w:numPr>
      <w:ind w:firstLine="720" w:start="0" w:end="0"/>
      <w:outlineLvl w:val="1"/>
    </w:pPr>
    <w:rPr>
      <w:sz w:val="28"/>
    </w:rPr>
  </w:style>
  <w:style w:type="paragraph" w:styleId="Heading3">
    <w:name w:val="heading 3"/>
    <w:basedOn w:val="Normal"/>
    <w:next w:val="Normal"/>
    <w:qFormat/>
    <w:pPr>
      <w:keepNext w:val="true"/>
      <w:numPr>
        <w:ilvl w:val="2"/>
        <w:numId w:val="1"/>
      </w:numPr>
      <w:jc w:val="both"/>
      <w:outlineLvl w:val="2"/>
    </w:pPr>
    <w:rPr>
      <w:b/>
      <w:bCs/>
      <w:sz w:val="28"/>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z w:val="24"/>
    </w:rPr>
  </w:style>
  <w:style w:type="paragraph" w:styleId="Headline">
    <w:name w:val="Headline"/>
    <w:basedOn w:val="Normal"/>
    <w:qFormat/>
    <w:pPr>
      <w:overflowPunct w:val="false"/>
      <w:autoSpaceDE w:val="false"/>
      <w:ind w:hanging="2880" w:start="0" w:end="0"/>
      <w:textAlignment w:val="baseline"/>
    </w:pPr>
    <w:rPr>
      <w:sz w:val="48"/>
    </w:rPr>
  </w:style>
  <w:style w:type="paragraph" w:styleId="BodyTextIndent2">
    <w:name w:val="Body Text Indent 2"/>
    <w:basedOn w:val="Normal"/>
    <w:qFormat/>
    <w:pPr>
      <w:ind w:hanging="0" w:start="16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ge.com/edi" TargetMode="External"/><Relationship Id="rId3" Type="http://schemas.openxmlformats.org/officeDocument/2006/relationships/hyperlink" Target="mailto:yxd1@pge.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2000-09-18T21:01:00Z</dcterms:created>
  <dc:creator>Mike T Clarke</dc:creator>
  <dc:description/>
  <dc:language>en-CA</dc:language>
  <cp:lastModifiedBy>Gerald R Millier</cp:lastModifiedBy>
  <cp:lastPrinted>2000-09-15T13:23:00Z</cp:lastPrinted>
  <dcterms:modified xsi:type="dcterms:W3CDTF">2000-09-18T21:01:00Z</dcterms:modified>
  <cp:revision>2</cp:revision>
  <dc:subject/>
  <dc:title>Billing Credits for CTA-Consolidated Billing</dc:title>
</cp:coreProperties>
</file>