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Northern Border Intermediate Limited Partnership, a Delaware limited partnership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Entities.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8.9(a)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Northern Border Limited Partnership and its subsidiaries, including Purchaser) shall not be considered Affiliates of Purchaser, and Northern Border Limited Partnership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rPr/>
      </w:pPr>
      <w:r>
        <w:rPr/>
        <w:t>“</w:t>
      </w:r>
      <w:r>
        <w:rPr>
          <w:u w:val="single"/>
        </w:rPr>
        <w:t>Big Horn</w:t>
      </w:r>
      <w:r>
        <w:rPr/>
        <w:t>” means Big Horn Gas Gathering, L.L.C., a Delaware limited liability company.</w:t>
      </w:r>
    </w:p>
    <w:p>
      <w:pPr>
        <w:pStyle w:val="BodyTextFirstIndent"/>
        <w:rPr/>
      </w:pPr>
      <w:r>
        <w:rPr/>
        <w:t>“</w:t>
      </w:r>
      <w:r>
        <w:rPr>
          <w:u w:val="single"/>
        </w:rPr>
        <w:t>Claimant</w:t>
      </w:r>
      <w:r>
        <w:rPr/>
        <w:t xml:space="preserve">” has the meaning specified in </w:t>
      </w:r>
      <w:r>
        <w:rPr>
          <w:u w:val="single"/>
        </w:rPr>
        <w:t>Section 8.9(b)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means _______, 2000, or such other date as may be agreed to by Seller and Purchaser.</w:t>
      </w:r>
    </w:p>
    <w:p>
      <w:pPr>
        <w:pStyle w:val="BodyTextFirstIndent"/>
        <w:rPr/>
      </w:pPr>
      <w:r>
        <w:rPr/>
        <w:t>“</w:t>
      </w:r>
      <w:r>
        <w:rPr>
          <w:u w:val="single"/>
        </w:rPr>
        <w:t>Closing Statement</w:t>
      </w:r>
      <w:r>
        <w:rPr/>
        <w:t xml:space="preserve">” has the meaning specified in </w:t>
      </w:r>
      <w:r>
        <w:rPr>
          <w:u w:val="single"/>
        </w:rPr>
        <w:t>Section 2.4</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Disclosure Schedule</w:t>
      </w:r>
      <w:r>
        <w:rPr/>
        <w:t>” means the Schedules included in the Disclosure Schedule attached hereto.  Sections of the Disclosure Schedule</w:t>
      </w:r>
      <w:r>
        <w:rPr>
          <w:b/>
        </w:rPr>
        <w:t xml:space="preserve"> </w:t>
      </w:r>
      <w:r>
        <w:rPr/>
        <w:t xml:space="preserve">correspond to sections of this Agreement. </w:t>
      </w:r>
    </w:p>
    <w:p>
      <w:pPr>
        <w:pStyle w:val="BodyTextFirstIndent"/>
        <w:rPr/>
      </w:pPr>
      <w:r>
        <w:rPr/>
        <w:t>“</w:t>
      </w:r>
      <w:r>
        <w:rPr>
          <w:u w:val="single"/>
        </w:rPr>
        <w:t>Dispute</w:t>
      </w:r>
      <w:r>
        <w:rPr/>
        <w:t xml:space="preserve">” has the meaning specified in </w:t>
      </w:r>
      <w:r>
        <w:rPr>
          <w:u w:val="single"/>
        </w:rPr>
        <w:t>Section 8.9(a)</w:t>
      </w:r>
      <w:r>
        <w:rPr/>
        <w:t>.</w:t>
      </w:r>
    </w:p>
    <w:p>
      <w:pPr>
        <w:pStyle w:val="BodyTextFirstIndent"/>
        <w:rPr/>
      </w:pPr>
      <w:r>
        <w:rPr/>
        <w:t>“</w:t>
      </w:r>
      <w:r>
        <w:rPr>
          <w:u w:val="single"/>
        </w:rPr>
        <w:t>Effective Date</w:t>
      </w:r>
      <w:r>
        <w:rPr/>
        <w:t>” means 7:00 a.m., Central Prevailing Time, on July 1, 2000.</w:t>
      </w:r>
    </w:p>
    <w:p>
      <w:pPr>
        <w:pStyle w:val="BodyTextFirstIndent"/>
        <w:rPr/>
      </w:pPr>
      <w:r>
        <w:rPr/>
        <w:t>“</w:t>
      </w:r>
      <w:r>
        <w:rPr>
          <w:u w:val="single"/>
        </w:rPr>
        <w:t>Employment Agreements</w:t>
      </w:r>
      <w:r>
        <w:rPr/>
        <w:t xml:space="preserve">” means the employment agreements executed between certain Transferred Employees and the Management Company in the forms attached hereto as </w:t>
      </w:r>
      <w:r>
        <w:rPr>
          <w:u w:val="single"/>
        </w:rPr>
        <w:t>Exhibit A</w:t>
      </w:r>
      <w:r>
        <w:rPr/>
        <w:t>, as provided in the Management Agreement.</w:t>
      </w:r>
    </w:p>
    <w:p>
      <w:pPr>
        <w:pStyle w:val="BodyTextFirstIndent"/>
        <w:rPr/>
      </w:pPr>
      <w:r>
        <w:rPr/>
        <w:t>“</w:t>
      </w:r>
      <w:r>
        <w:rPr>
          <w:u w:val="single"/>
        </w:rPr>
        <w:t>EMS</w:t>
      </w:r>
      <w:r>
        <w:rPr/>
        <w:t>” is defined in the Recitals to this Agreement.</w:t>
      </w:r>
    </w:p>
    <w:p>
      <w:pPr>
        <w:pStyle w:val="BodyTextFirstIndent"/>
        <w:rPr/>
      </w:pPr>
      <w:r>
        <w:rPr/>
        <w:t>“</w:t>
      </w:r>
      <w:r>
        <w:rPr>
          <w:u w:val="single"/>
        </w:rPr>
        <w:t>EMS Gathering Agreement</w:t>
      </w:r>
      <w:r>
        <w:rPr/>
        <w:t xml:space="preserve">” means the gas gathering agreement to be entered into between Seller and EMS at the Closing in the form attached hereto as </w:t>
      </w:r>
      <w:r>
        <w:rPr>
          <w:u w:val="single"/>
        </w:rPr>
        <w:t>Exhibit D</w:t>
      </w:r>
      <w:r>
        <w:rPr/>
        <w:t>.</w:t>
      </w:r>
    </w:p>
    <w:p>
      <w:pPr>
        <w:pStyle w:val="BodyTextFirstIndent"/>
        <w:rPr/>
      </w:pPr>
      <w:r>
        <w:rPr/>
        <w:t>“</w:t>
      </w:r>
      <w:r>
        <w:rPr>
          <w:u w:val="single"/>
        </w:rPr>
        <w:t>EMS Gathering System</w:t>
      </w:r>
      <w:r>
        <w:rPr/>
        <w:t xml:space="preserve">” means the gas gathering system of EMS as existing on the date of this Agreement located in ____________ Counties,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Existing EMS Gas Gathering Contracts</w:t>
      </w:r>
      <w:r>
        <w:rPr/>
        <w:t xml:space="preserve">” means the contracts and agreements listed in </w:t>
      </w:r>
      <w:r>
        <w:rPr>
          <w:u w:val="single"/>
        </w:rPr>
        <w:t>Schedule 1.1(a)</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for the period ending on _________, 2000, as set forth in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1.1(b)</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_____________.</w:t>
      </w:r>
    </w:p>
    <w:p>
      <w:pPr>
        <w:pStyle w:val="BodyTextFirstIndent"/>
        <w:rPr/>
      </w:pPr>
      <w:r>
        <w:rPr/>
        <w:t>“</w:t>
      </w:r>
      <w:r>
        <w:rPr>
          <w:u w:val="single"/>
        </w:rPr>
        <w:t>Indemnified Person</w:t>
      </w:r>
      <w:r>
        <w:rPr/>
        <w:t xml:space="preserve">” has the meaning specified in </w:t>
      </w:r>
      <w:r>
        <w:rPr>
          <w:u w:val="single"/>
        </w:rPr>
        <w:t>Section 6.5(a)</w:t>
      </w:r>
      <w:r>
        <w:rPr/>
        <w:t>.</w:t>
      </w:r>
    </w:p>
    <w:p>
      <w:pPr>
        <w:pStyle w:val="BodyTextFirstIndent"/>
        <w:rPr/>
      </w:pPr>
      <w:r>
        <w:rPr/>
        <w:t>“</w:t>
      </w:r>
      <w:r>
        <w:rPr>
          <w:u w:val="single"/>
        </w:rPr>
        <w:t>Indemnifying Person</w:t>
      </w:r>
      <w:r>
        <w:rPr/>
        <w:t xml:space="preserve">” has the meaning specified in </w:t>
      </w:r>
      <w:r>
        <w:rPr>
          <w:u w:val="single"/>
        </w:rPr>
        <w:t>Section 6.5(a)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Agreement</w:t>
      </w:r>
      <w:r>
        <w:rPr/>
        <w:t xml:space="preserve">” means the agreement entered into between Purchaser and Management Company at the Closing in the form attached hereto as </w:t>
      </w:r>
      <w:r>
        <w:rPr>
          <w:u w:val="single"/>
        </w:rPr>
        <w:t>Exhibit C</w:t>
      </w:r>
      <w:r>
        <w:rPr/>
        <w:t>.</w:t>
      </w:r>
    </w:p>
    <w:p>
      <w:pPr>
        <w:pStyle w:val="BodyTextFirstIndent"/>
        <w:rPr/>
      </w:pPr>
      <w:r>
        <w:rPr/>
        <w:t>“</w:t>
      </w:r>
      <w:r>
        <w:rPr>
          <w:u w:val="single"/>
        </w:rPr>
        <w:t>Management Company</w:t>
      </w:r>
      <w:r>
        <w:rPr/>
        <w:t>” means ___________________.</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[$2,000,000], except as otherwise specified.</w:t>
      </w:r>
    </w:p>
    <w:p>
      <w:pPr>
        <w:pStyle w:val="BodyTextFirstIndent"/>
        <w:rPr/>
      </w:pPr>
      <w:r>
        <w:rPr/>
        <w:t>“</w:t>
      </w:r>
      <w:r>
        <w:rPr>
          <w:u w:val="single"/>
        </w:rPr>
        <w:t>Material Adverse Effect</w:t>
      </w:r>
      <w:r>
        <w:rPr/>
        <w:t>” means (a) when used with respect to the Transferred Companies, a result or consequence that would materially adversely affect the condition (financial or otherwise), business prospects, results of operations or business of the Transferred Companies, taken as a whole, or the aggregate value of their assets or would materially impair the ability of the Transferred Companies, taken as a whole, to own, hold, develop and operate their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any Existing EMS Gas Gathering Contract; (b) each Firm Gas Gathering Agreement and NCO Agreement; (c) each contract or agreement (oral or written) that involves performance of services or delivery of goods or materials by a Transferred Company of an amount or value in excess of $500,000; and (d) each contract or agreement (oral or written) that involves performance of services or delivery of goods or materials to a Transferred Company of an amount or value in excess of $500,000.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NCO Agreements</w:t>
      </w:r>
      <w:r>
        <w:rPr/>
        <w:t xml:space="preserve">” means the agreements described in </w:t>
      </w:r>
      <w:r>
        <w:rPr>
          <w:u w:val="single"/>
        </w:rPr>
        <w:t>Schedule 1.1(c)</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w:t>
      </w:r>
    </w:p>
    <w:p>
      <w:pPr>
        <w:pStyle w:val="BodyTextFirstIndent"/>
        <w:rPr/>
      </w:pPr>
      <w:r>
        <w:rPr/>
        <w:t>“</w:t>
      </w:r>
      <w:r>
        <w:rPr>
          <w:u w:val="single"/>
        </w:rPr>
        <w:t>Permits</w:t>
      </w:r>
      <w:r>
        <w:rPr/>
        <w:t xml:space="preserve">” shall have the meaning specified in </w:t>
      </w:r>
      <w:r>
        <w:rPr>
          <w:u w:val="single"/>
        </w:rPr>
        <w:t>Section 3.1(m)</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$500,000,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5.3</w:t>
      </w:r>
      <w:r>
        <w:rPr/>
        <w:t>.</w:t>
      </w:r>
    </w:p>
    <w:p>
      <w:pPr>
        <w:pStyle w:val="BodyTextFirstIndent"/>
        <w:rPr/>
      </w:pPr>
      <w:r>
        <w:rPr/>
        <w:t>“</w:t>
      </w:r>
      <w:r>
        <w:rPr>
          <w:u w:val="single"/>
        </w:rPr>
        <w:t>Request</w:t>
      </w:r>
      <w:r>
        <w:rPr/>
        <w:t xml:space="preserve">” has the meaning specified in </w:t>
      </w:r>
      <w:r>
        <w:rPr>
          <w:u w:val="single"/>
        </w:rPr>
        <w:t>Section 8.9(b)</w:t>
      </w:r>
      <w:r>
        <w:rPr/>
        <w:t>.</w:t>
      </w:r>
    </w:p>
    <w:p>
      <w:pPr>
        <w:pStyle w:val="BodyTextFirstIndent"/>
        <w:rPr/>
      </w:pPr>
      <w:r>
        <w:rPr/>
        <w:t>“</w:t>
      </w:r>
      <w:r>
        <w:rPr>
          <w:u w:val="single"/>
        </w:rPr>
        <w:t>Respondent</w:t>
      </w:r>
      <w:r>
        <w:rPr/>
        <w:t xml:space="preserve">” has the meaning specified in </w:t>
      </w:r>
      <w:r>
        <w:rPr>
          <w:u w:val="single"/>
        </w:rPr>
        <w:t>Section 8.9(b)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5.4</w:t>
      </w:r>
      <w:r>
        <w:rPr/>
        <w:t>.</w:t>
      </w:r>
    </w:p>
    <w:p>
      <w:pPr>
        <w:pStyle w:val="BodyTextFirstIndent"/>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rPr/>
      </w:pPr>
      <w:r>
        <w:rPr/>
        <w:t>“</w:t>
      </w:r>
      <w:r>
        <w:rPr>
          <w:u w:val="single"/>
        </w:rPr>
        <w:t>Specified Project</w:t>
      </w:r>
      <w:r>
        <w:rPr/>
        <w:t xml:space="preserve">” has the meaning specified in </w:t>
      </w:r>
      <w:r>
        <w:rPr>
          <w:u w:val="single"/>
        </w:rPr>
        <w:t>Section 6.1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pPr>
      <w:r>
        <w:rPr/>
        <w:t>“</w:t>
      </w:r>
      <w:r>
        <w:rPr>
          <w:u w:val="single"/>
        </w:rPr>
        <w:t>Transferred Employees</w:t>
      </w:r>
      <w:r>
        <w:rPr/>
        <w:t xml:space="preserve">” shall mean those individuals listed on </w:t>
      </w:r>
      <w:r>
        <w:rPr>
          <w:u w:val="single"/>
        </w:rPr>
        <w:t>Schedule 1.1(d)</w:t>
      </w:r>
      <w:r>
        <w:rPr/>
        <w:t xml:space="preserve"> hereto, formerly employees of Seller.</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effective as of the Effective Date,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$204,000,000 (the “</w:t>
      </w:r>
      <w:r>
        <w:rPr>
          <w:u w:val="single"/>
        </w:rPr>
        <w:t>Purchase Price</w:t>
      </w:r>
      <w:r>
        <w:rPr/>
        <w:t>”), subject to adjustment as provided below.  The “</w:t>
      </w:r>
      <w:r>
        <w:rPr>
          <w:u w:val="single"/>
        </w:rPr>
        <w:t>Adjusted Purchase Price</w:t>
      </w:r>
      <w:r>
        <w:rPr/>
        <w:t>” shall be the Purchase Price adjusted as follows:</w:t>
      </w:r>
    </w:p>
    <w:p>
      <w:pPr>
        <w:pStyle w:val="Heading4"/>
        <w:ind w:hanging="0" w:start="0"/>
        <w:rPr/>
      </w:pPr>
      <w:r>
        <w:rPr/>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ind w:hanging="0" w:start="0"/>
        <w:rPr/>
      </w:pPr>
      <w:r>
        <w:rPr/>
        <w:t>adjusted upward by the amount of all costs and expenses paid by Seller that are attributable to the Transferred Companies and to periods of time after the Effective Date and that are incurred in the ordinary course of business consistent with past practices, including capital expenditures, employee expenses, and general and administrative expenses (excluding Enron Corp. internal allocations);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based upon the Estimated Adjusted Purchase Price.</w:t>
      </w:r>
    </w:p>
    <w:p>
      <w:pPr>
        <w:pStyle w:val="Heading2"/>
        <w:ind w:hanging="0" w:start="0"/>
        <w:rPr/>
      </w:pPr>
      <w:r>
        <w:rPr>
          <w:u w:val="single"/>
        </w:rPr>
        <w:t>Post-Closing Adjustment to the Purchase Price</w:t>
      </w:r>
      <w:r>
        <w:rPr/>
        <w:t>.  On or before the date that is sixty (60) days after the Closing Date, Seller shall prepare and deliver to Purchaser a revised Closing Statement setting forth the Purchase Price adjustments.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Agreement, the matter may be submitted by either party to arbitration under </w:t>
      </w:r>
      <w:r>
        <w:rPr>
          <w:u w:val="single"/>
        </w:rPr>
        <w:t>Section 8.9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8.9</w:t>
      </w:r>
      <w:r>
        <w:rPr/>
        <w:t>.</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F</w:t>
      </w:r>
      <w:r>
        <w:rPr/>
        <w:t xml:space="preserve"> by which the Acquired Membership Interests are assigned to Purchaser free and clear of all Liens except restrictions created by the Operating Agreements of this Agreement;</w:t>
      </w:r>
    </w:p>
    <w:p>
      <w:pPr>
        <w:pStyle w:val="Heading4"/>
        <w:ind w:hanging="0" w:start="0"/>
        <w:rPr/>
      </w:pPr>
      <w:r>
        <w:rPr/>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The Management Agreement duly executed by the Management Company;</w:t>
      </w:r>
    </w:p>
    <w:p>
      <w:pPr>
        <w:pStyle w:val="Heading4"/>
        <w:ind w:hanging="0" w:start="0"/>
        <w:rPr/>
      </w:pPr>
      <w:r>
        <w:rPr/>
        <w:t>The EMS Gathering Agreement duly executed by Seller and EMS;</w:t>
      </w:r>
    </w:p>
    <w:p>
      <w:pPr>
        <w:pStyle w:val="Heading4"/>
        <w:ind w:hanging="0" w:start="0"/>
        <w:rPr/>
      </w:pPr>
      <w:r>
        <w:rPr/>
        <w:t>All Employment Agreements duly executed by the Management Company and certain Transferred Employees;</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 duly executed Assignment and Assumption Agreement in the form attached hereto as </w:t>
      </w:r>
      <w:r>
        <w:rPr>
          <w:u w:val="single"/>
        </w:rPr>
        <w:t>Exhibit F</w:t>
      </w:r>
      <w:r>
        <w:rPr/>
        <w:t>;</w:t>
      </w:r>
    </w:p>
    <w:p>
      <w:pPr>
        <w:pStyle w:val="Heading4"/>
        <w:ind w:hanging="0" w:start="0"/>
        <w:rPr/>
      </w:pPr>
      <w:r>
        <w:rPr/>
        <w:t>The Management Agreement duly executed by Purchaser;</w:t>
      </w:r>
    </w:p>
    <w:p>
      <w:pPr>
        <w:pStyle w:val="Heading4"/>
        <w:ind w:hanging="0" w:start="0"/>
        <w:rPr/>
      </w:pPr>
      <w:r>
        <w:rPr/>
        <w:t xml:space="preserve">A Guaranty executed by _____ in the form attached hereto as </w:t>
      </w:r>
      <w:r>
        <w:rPr>
          <w:u w:val="single"/>
        </w:rPr>
        <w:t>Exhibit H</w:t>
      </w:r>
      <w:r>
        <w:rPr/>
        <w:t>;</w:t>
      </w:r>
    </w:p>
    <w:p>
      <w:pPr>
        <w:pStyle w:val="Heading4"/>
        <w:ind w:hanging="0" w:start="0"/>
        <w:rPr/>
      </w:pPr>
      <w:r>
        <w:rPr/>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in the sole opinion of the Seller, of substitute credit support for any credit support now provided by Seller or any of its Affiliates in respect of the Transferred Companies, including the Firm Gas Gathering Agreements and the NCO Agreements.</w:t>
      </w:r>
    </w:p>
    <w:p>
      <w:pPr>
        <w:pStyle w:val="Heading2"/>
        <w:ind w:hanging="0" w:start="0"/>
        <w:rPr/>
      </w:pPr>
      <w:r>
        <w:rPr>
          <w:u w:val="single"/>
        </w:rPr>
        <w:t>Allocation of Purchase Price</w:t>
      </w:r>
      <w:r>
        <w:rPr/>
        <w:t>.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neither the execution and delivery of this Agreement, nor the consummation of the transactions contemplated hereby and in accordance with the terms hereof, will: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for filings to be made under the HSR Act (if any) and as shown in </w:t>
      </w:r>
      <w:r>
        <w:rPr>
          <w:u w:val="single"/>
        </w:rPr>
        <w:t>Schedule 3.1(c)</w:t>
      </w:r>
      <w:r>
        <w:rPr/>
        <w:t>.</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or this Agreement).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EWR holds, beneficially and of record, a 35% membership interest in Fort Union, and EPR holds, beneficially and of record, a 33.33% membership interest in Lost Creek, in each case, free and clear of any Lien, claim, pledge, encumbrance, security interest, option, warrant, purchase right or other contract or commitment (other than as provided in the Fort Union Operating Agreement, the Lost Creek Operating Agreement or this Agreement).  </w:t>
      </w:r>
    </w:p>
    <w:p>
      <w:pPr>
        <w:pStyle w:val="Heading4"/>
        <w:ind w:hanging="0" w:start="0"/>
        <w:rPr/>
      </w:pPr>
      <w:r>
        <w:rPr/>
        <w:t>EMS holds, beneficially and of record, ten percent (10%) of the common membership interests, and twenty percent (20%) of the Preferred A Units, in Big Horn, free and clear of any Lien, claim, pledge, encumbrance, security interest, option, warrant, purchase right or other contract or commitment (other than as provided in the Amended and Restated Limited Liability Company Operating Agreement of Big Horn, as amended, and in this Agreement).</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the Transferred Companies).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individually or in the aggregate, would not have a Material Adverse Effect on the Transferred Companies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the Closing Date,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$500,000, in the aggregate) and fairly present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respects the transactions of each Transferred Company.  Except as set forth on </w:t>
      </w:r>
      <w:r>
        <w:rPr>
          <w:u w:val="single"/>
        </w:rPr>
        <w:t>Schedule 3.1(i)</w:t>
      </w:r>
      <w:r>
        <w:rPr/>
        <w:t xml:space="preserve"> hereto, no Transferred Company has any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$100,000;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the Transferred Companies (provided, however, that inclusion of any agreement or contract on </w:t>
      </w:r>
      <w:r>
        <w:rPr>
          <w:u w:val="single"/>
        </w:rPr>
        <w:t>Schedule 3.1(l)</w:t>
      </w:r>
      <w:r>
        <w:rPr/>
        <w:t xml:space="preserve"> does not constitute an admission that such agreement or contract is a Material Agreement).  Such listing provides reasonably complete details concerning such Existing EMS Gas Gathering Contracts and other Material Agreements, identifying among other things the parties to each such Existing EMS Gas Gathering Contract and each such Material Agreement.</w:t>
      </w:r>
    </w:p>
    <w:p>
      <w:pPr>
        <w:pStyle w:val="Heading4"/>
        <w:ind w:hanging="0" w:start="0"/>
        <w:rPr/>
      </w:pPr>
      <w:r>
        <w:rPr/>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except for any violation or default that would not, individually or in the aggregate, have a Material Adverse Effect, (C) any other contract, agreement, lease or commitment, whether oral or written to which a Transferred Company is a party (“</w:t>
      </w:r>
      <w:r>
        <w:rPr>
          <w:u w:val="single"/>
        </w:rPr>
        <w:t>Other Contracts</w:t>
      </w:r>
      <w:r>
        <w:rPr/>
        <w:t>”), except for any violation or default that would not, individually or in the aggregate, have a Material Adverse Effect on the Transferred Companies.</w:t>
      </w:r>
    </w:p>
    <w:p>
      <w:pPr>
        <w:pStyle w:val="Heading4"/>
        <w:ind w:hanging="0" w:start="0"/>
        <w:rPr/>
      </w:pPr>
      <w:r>
        <w:rPr/>
        <w:t xml:space="preserve">Except as set forth on </w:t>
      </w:r>
      <w:r>
        <w:rPr>
          <w:u w:val="single"/>
        </w:rPr>
        <w:t>Schedule 3.1(l)</w:t>
      </w:r>
      <w:r>
        <w:rPr/>
        <w:t>:  (A) all of the Material Agreements and the Other Contracts are in full force and effect and are valid and enforceable in accordance with their terms, except where the failure to be in full force and effect and enforceable would not have a Material Adverse Effect on the Transferred Companies; (B) there is no material default or material breach under any Material Agreement or Other Contract by the Transferred Companies; or (C) to Seller’s knowledge, there are no material defaults or material breaches on the part of the other party to any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permits, licenses and Governmental Actions that each Transferred Company has heretofore obtained for the conduct of its business (collectively, herein the “</w:t>
      </w:r>
      <w:r>
        <w:rPr>
          <w:u w:val="single"/>
        </w:rPr>
        <w:t>Permits</w:t>
      </w:r>
      <w:r>
        <w:rPr/>
        <w:t xml:space="preserve">”).  Except as set forth in </w:t>
      </w:r>
      <w:r>
        <w:rPr>
          <w:u w:val="single"/>
        </w:rPr>
        <w:t>Schedule 3.1(m)</w:t>
      </w:r>
      <w:r>
        <w:rPr/>
        <w:t xml:space="preserve">, the Permits have been duly obtained and are in full force and effect.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MONTANA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which, if adversely determined, will have or could reasonably be expected to have a Material Adverse Effect on that Transferred Company; and (ii) to Seller’s knowledge, no litigation, arbitration, investigation or other proceeding is pending or threatened against either Gathering Company or their respective assets.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Each Transferred Company, and to Seller’s knowledge, each Gathering Company, has: (A) timely filed all federal, state and local returns, declarations, reports, estimates, information returns and statements required to be filed by it with respect to any Taxes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and to the knowledge of Seller, each Gathering Company is and has been and will be on the Closing Date in compliance with all Environmental Laws;</w:t>
      </w:r>
    </w:p>
    <w:p>
      <w:pPr>
        <w:pStyle w:val="Heading4"/>
        <w:ind w:hanging="0" w:start="0"/>
        <w:rPr/>
      </w:pPr>
      <w:r>
        <w:rPr/>
        <w:t>Each Transferred Company, and, to Seller’s knowledge, each Gathering Company, has made all notices and obtained all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p>
    <w:p>
      <w:pPr>
        <w:pStyle w:val="Heading4"/>
        <w:ind w:hanging="0" w:start="0"/>
        <w:rPr/>
      </w:pPr>
      <w:r>
        <w:rPr/>
        <w:t>To the Seller’s knowledge, there have been no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OR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Authorization of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 (if any).</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ind w:hanging="0" w:start="0"/>
        <w:rPr/>
      </w:pPr>
      <w:r>
        <w:rPr/>
        <w:t>[</w:t>
      </w:r>
      <w:r>
        <w:rPr>
          <w:u w:val="single"/>
        </w:rPr>
        <w:t>Employee Matters</w:t>
      </w:r>
      <w:r>
        <w:rPr/>
        <w:t>.</w:t>
      </w:r>
    </w:p>
    <w:p>
      <w:pPr>
        <w:pStyle w:val="Heading3"/>
        <w:ind w:hanging="0" w:start="0"/>
        <w:rPr/>
      </w:pPr>
      <w:r>
        <w:rPr>
          <w:u w:val="single"/>
        </w:rPr>
        <w:t>Management Agreement</w:t>
      </w:r>
      <w:r>
        <w:rPr/>
        <w:t>.  Seller shall cause the Management Company to enter into the Management Agreement with Purchaser at the Closing.</w:t>
      </w:r>
    </w:p>
    <w:p>
      <w:pPr>
        <w:pStyle w:val="Heading3"/>
        <w:ind w:hanging="0" w:start="0"/>
        <w:rPr/>
      </w:pPr>
      <w:r>
        <w:rPr>
          <w:u w:val="single"/>
        </w:rPr>
        <w:t>Employment</w:t>
      </w:r>
      <w:r>
        <w:rPr/>
        <w:t xml:space="preserve">.  Seller shall cause the Management Company to make offers of employment to the employees of Seller listed in </w:t>
      </w:r>
      <w:r>
        <w:rPr>
          <w:u w:val="single"/>
        </w:rPr>
        <w:t>Schedule 4.4</w:t>
      </w:r>
      <w:r>
        <w:rPr/>
        <w:t xml:space="preserve"> no later than 5:00 p.m. on the first business day after the date of this Agreement with such employees required to accept or reject such offers by 5:00 p.m. on the 4th business day after the date of this Agreement. The offer of employment by the Management Company will be effective on the Closing Date, at no less than 100% of the employee’s current base salary on the Closing Date (including the incentive structure described in </w:t>
      </w:r>
      <w:r>
        <w:rPr>
          <w:u w:val="single"/>
        </w:rPr>
        <w:t>Section 4.4(e)</w:t>
      </w:r>
      <w:r>
        <w:rPr/>
        <w:t xml:space="preserve"> below), with a minimum bonus for calendar year 2000 identified for each such Transferred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Seller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Organization Chart</w:t>
      </w:r>
      <w:r>
        <w:rPr/>
        <w:t xml:space="preserve">.  The initial organization chart for the Management Company is attached as </w:t>
      </w:r>
      <w:r>
        <w:rPr>
          <w:u w:val="single"/>
        </w:rPr>
        <w:t>Exhibit J</w:t>
      </w:r>
      <w:r>
        <w:rPr/>
        <w:t xml:space="preserve">.  </w:t>
      </w:r>
    </w:p>
    <w:p>
      <w:pPr>
        <w:pStyle w:val="Heading3"/>
        <w:ind w:hanging="0" w:start="0"/>
        <w:rPr/>
      </w:pPr>
      <w:r>
        <w:rPr>
          <w:u w:val="single"/>
        </w:rPr>
        <w:t>Incentive Structure</w:t>
      </w:r>
      <w:r>
        <w:rPr/>
        <w:t xml:space="preserve">.  The Management Company will implement an incentive compensation program, as described in the Management Agreement, to encourage the Transferred Employees to develop new business opportunities, develop Purchaser’s existing assets, and contribute to the financial performance of Purchaser.] </w:t>
      </w:r>
    </w:p>
    <w:p>
      <w:pPr>
        <w:pStyle w:val="Heading2"/>
        <w:ind w:hanging="0" w:start="0"/>
        <w:rPr/>
      </w:pP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ind w:hanging="0" w:start="0"/>
        <w:rPr/>
      </w:pPr>
      <w:r>
        <w:rPr>
          <w:u w:val="single"/>
        </w:rPr>
        <w:t>Changes in Business</w:t>
      </w:r>
      <w:r>
        <w:rPr/>
        <w:t>.  Seller shall cause each Transferred Company to comply with the following:</w:t>
      </w:r>
    </w:p>
    <w:p>
      <w:pPr>
        <w:pStyle w:val="Heading4"/>
        <w:ind w:hanging="0" w:start="0"/>
        <w:rPr/>
      </w:pPr>
      <w:r>
        <w:rPr/>
        <w:t>each Transferred Company shall not make any material change in the conduct of its business or operations;</w:t>
      </w:r>
    </w:p>
    <w:p>
      <w:pPr>
        <w:pStyle w:val="Heading4"/>
        <w:tabs>
          <w:tab w:val="left" w:pos="2880" w:leader="none"/>
        </w:tabs>
        <w:ind w:hanging="0" w:start="0"/>
        <w:rPr/>
      </w:pPr>
      <w:r>
        <w:rPr/>
        <w:t>except in the ordinary course of business and consistent with past practices, each Transferred Company shall not enter into, assign, terminate, or amend, in any material respect, any Material Contract;</w:t>
      </w:r>
    </w:p>
    <w:p>
      <w:pPr>
        <w:pStyle w:val="Heading4"/>
        <w:tabs>
          <w:tab w:val="left" w:pos="2880" w:leader="none"/>
        </w:tabs>
        <w:ind w:hanging="0" w:start="0"/>
        <w:rPr/>
      </w:pPr>
      <w:r>
        <w:rPr/>
        <w:t>each Transferred Company shall not:</w:t>
      </w:r>
    </w:p>
    <w:p>
      <w:pPr>
        <w:pStyle w:val="Heading5"/>
        <w:ind w:hanging="0" w:start="0"/>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held by such Transferred Company;</w:t>
      </w:r>
    </w:p>
    <w:p>
      <w:pPr>
        <w:pStyle w:val="Heading5"/>
        <w:ind w:hanging="0" w:start="0"/>
        <w:rPr/>
      </w:pPr>
      <w:r>
        <w:rPr/>
        <w:t>merge into or with or consolidate with any other corporation or acquire all or substantially all of the business or assets of any corporation or other Person;</w:t>
      </w:r>
    </w:p>
    <w:p>
      <w:pPr>
        <w:pStyle w:val="Heading5"/>
        <w:ind w:hanging="0" w:start="0"/>
        <w:rPr/>
      </w:pPr>
      <w:r>
        <w:rPr/>
        <w:t>make any change in its Certificate of Formation or Operating Agreement; and</w:t>
      </w:r>
    </w:p>
    <w:p>
      <w:pPr>
        <w:pStyle w:val="Heading5"/>
        <w:ind w:hanging="0" w:start="0"/>
        <w:rPr/>
      </w:pPr>
      <w:r>
        <w:rPr/>
        <w:t>purchase any securities of any corporation or other Person, except for investments made in the ordinary course of business and consistent with prior practices;</w:t>
      </w:r>
    </w:p>
    <w:p>
      <w:pPr>
        <w:pStyle w:val="Heading4"/>
        <w:tabs>
          <w:tab w:val="left" w:pos="2880" w:leader="none"/>
        </w:tabs>
        <w:ind w:hanging="0" w:start="0"/>
        <w:rPr/>
      </w:pPr>
      <w:r>
        <w:rPr/>
        <w:t xml:space="preserve">other than pursuant to the requirements of existing contracts or commitments, each Transferred Company shall not sell, lease, or otherwise dispose of any of its assets, except for (a) assets sold, leased, or otherwise disposed of in the ordinary course of business and (b) the sale or disposition of any item of personal property or equipment having a value of less than $100,000; </w:t>
      </w:r>
    </w:p>
    <w:p>
      <w:pPr>
        <w:pStyle w:val="Heading4"/>
        <w:tabs>
          <w:tab w:val="left" w:pos="2880" w:leader="none"/>
        </w:tabs>
        <w:ind w:hanging="0" w:start="0"/>
        <w:rPr/>
      </w:pPr>
      <w:r>
        <w:rPr/>
        <w:t>each Transferred Company shall not take any action or enter into any commitment with respect to or in contemplation of any liquidation, dissolution, recapitalization, reorganization, or other winding up of its business or operations; and</w:t>
      </w:r>
    </w:p>
    <w:p>
      <w:pPr>
        <w:pStyle w:val="Heading4"/>
        <w:tabs>
          <w:tab w:val="left" w:pos="2880" w:leader="none"/>
        </w:tabs>
        <w:ind w:hanging="0" w:start="0"/>
        <w:rPr/>
      </w:pPr>
      <w:r>
        <w:rPr/>
        <w:t>each Transferred Company shall not change its accounting policies or practices, except as required under GAAP.</w:t>
      </w:r>
    </w:p>
    <w:p>
      <w:pPr>
        <w:pStyle w:val="Heading3"/>
        <w:ind w:hanging="0" w:start="0"/>
        <w:rPr/>
      </w:pP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or (ii) required or evidenced by any Material Contracts.</w:t>
      </w:r>
    </w:p>
    <w:p>
      <w:pPr>
        <w:pStyle w:val="Heading3"/>
        <w:ind w:hanging="0" w:start="0"/>
        <w:rPr/>
      </w:pPr>
      <w:r>
        <w:rPr>
          <w:u w:val="single"/>
        </w:rPr>
        <w:t>Operations</w:t>
      </w:r>
      <w:r>
        <w:rPr/>
        <w:t>.  Seller shall:</w:t>
      </w:r>
    </w:p>
    <w:p>
      <w:pPr>
        <w:pStyle w:val="Heading4"/>
        <w:tabs>
          <w:tab w:val="left" w:pos="2880" w:leader="none"/>
        </w:tabs>
        <w:ind w:hanging="0" w:start="0"/>
        <w:rPr/>
      </w:pPr>
      <w:r>
        <w:rPr/>
        <w:t>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and</w:t>
      </w:r>
    </w:p>
    <w:p>
      <w:pPr>
        <w:pStyle w:val="Heading4"/>
        <w:tabs>
          <w:tab w:val="left" w:pos="720" w:leader="none"/>
          <w:tab w:val="left" w:pos="2880" w:leader="none"/>
        </w:tabs>
        <w:ind w:hanging="0" w:start="0"/>
        <w:rPr/>
      </w:pPr>
      <w:r>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w:t>
      </w:r>
    </w:p>
    <w:p>
      <w:pPr>
        <w:pStyle w:val="Heading2"/>
        <w:ind w:hanging="0" w:start="0"/>
        <w:rPr/>
      </w:pP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ind w:hanging="0" w:start="0"/>
        <w:rPr/>
      </w:pP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ind w:hanging="0" w:start="0"/>
        <w:rPr/>
      </w:pP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1"/>
        <w:ind w:hanging="0" w:start="0"/>
        <w:rPr/>
      </w:pPr>
      <w:r>
        <w:rPr/>
        <w:br/>
        <w:t>CLOSING CONDITIONS</w:t>
      </w:r>
    </w:p>
    <w:p>
      <w:pPr>
        <w:pStyle w:val="Heading2"/>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ind w:hanging="0" w:start="0"/>
        <w:rPr/>
      </w:pPr>
      <w:r>
        <w:rPr>
          <w:u w:val="single"/>
        </w:rPr>
        <w:t>Closing Documents</w:t>
      </w:r>
      <w:r>
        <w:rPr/>
        <w:t xml:space="preserve">.  On or prior to the Closing Date, Purchaser shall have delivered all agreements, instruments, and documents required to be delivered by Purchaser under </w:t>
      </w:r>
      <w:r>
        <w:rPr>
          <w:u w:val="single"/>
        </w:rPr>
        <w:t>Section 2.6</w:t>
      </w:r>
      <w:r>
        <w:rPr/>
        <w:t xml:space="preserve">.  </w:t>
      </w:r>
    </w:p>
    <w:p>
      <w:pPr>
        <w:pStyle w:val="Heading3"/>
        <w:ind w:hanging="0" w:start="0"/>
        <w:rPr/>
      </w:pP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ind w:hanging="0" w:start="0"/>
        <w:rPr/>
      </w:pP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ind w:hanging="0" w:start="0"/>
        <w:rPr/>
      </w:pPr>
      <w:r>
        <w:rPr>
          <w:u w:val="single"/>
        </w:rPr>
        <w:t>Purchase Price</w:t>
      </w:r>
      <w:r>
        <w:rPr/>
        <w:t xml:space="preserve">.  Purchaser shall have delivered the Purchase Price to Seller by wire transfer in immediately available funds. </w:t>
      </w:r>
    </w:p>
    <w:p>
      <w:pPr>
        <w:pStyle w:val="Heading2"/>
        <w:ind w:hanging="0" w:start="0"/>
        <w:rPr/>
      </w:pP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u w:val="single"/>
        </w:rPr>
        <w:t>Closing Documents</w:t>
      </w:r>
      <w:r>
        <w:rPr/>
        <w:t xml:space="preserve">.  On or prior to the Closing Date, Seller shall have delivered all agreements, instruments, and documents required to be delivered by Seller under </w:t>
      </w:r>
      <w:r>
        <w:rPr>
          <w:u w:val="single"/>
        </w:rPr>
        <w:t>Section 2.6</w:t>
      </w:r>
      <w:r>
        <w:rPr/>
        <w:t xml:space="preserve">. </w:t>
      </w:r>
    </w:p>
    <w:p>
      <w:pPr>
        <w:pStyle w:val="Heading3"/>
        <w:ind w:hanging="0" w:start="0"/>
        <w:rPr/>
      </w:pP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ind w:hanging="0" w:start="0"/>
        <w:rPr/>
      </w:pP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ind w:hanging="0" w:start="0"/>
        <w:rPr/>
      </w:pPr>
      <w:r>
        <w:rPr>
          <w:u w:val="single"/>
        </w:rPr>
        <w:t>Expansion Vote</w:t>
      </w:r>
      <w:r>
        <w:rPr/>
        <w:t>.  Seller shall have caused EPR to vote in favor of the expansion of the existing gathering system for Fort Union.</w:t>
      </w:r>
    </w:p>
    <w:p>
      <w:pPr>
        <w:pStyle w:val="Heading3"/>
        <w:ind w:hanging="0" w:start="0"/>
        <w:rPr/>
      </w:pPr>
      <w:r>
        <w:rPr>
          <w:u w:val="single"/>
        </w:rPr>
        <w:t>Due Diligence Review</w:t>
      </w:r>
      <w:r>
        <w:rPr/>
        <w:t xml:space="preserve">.  Purchaser shall have completed its due diligence review of the Transferred Companies and the results of that review shall be reasonably satisfactory to Purchaser.  </w:t>
      </w:r>
    </w:p>
    <w:p>
      <w:pPr>
        <w:pStyle w:val="Heading3"/>
        <w:ind w:hanging="0" w:start="0"/>
        <w:rPr/>
      </w:pPr>
      <w:r>
        <w:rPr>
          <w:u w:val="single"/>
        </w:rPr>
        <w:t>Audit Committee</w:t>
      </w:r>
      <w:r>
        <w:rPr/>
        <w:t>.  The audit committee of Northern Border Partners, L.P., the parent company of Purchaser, shall have delivered to Purchaser a fairness opinion to the effect that, as of the date of such opinion, the transactions contemplated by this Agreement are fair, from a financial point of view, to Purchaser.</w:t>
      </w:r>
    </w:p>
    <w:p>
      <w:pPr>
        <w:pStyle w:val="Heading3"/>
        <w:ind w:hanging="0" w:start="0"/>
        <w:rPr/>
      </w:pPr>
      <w:r>
        <w:rPr>
          <w:u w:val="single"/>
        </w:rPr>
        <w:t>Tax Election</w:t>
      </w:r>
      <w:r>
        <w:rPr/>
        <w:t xml:space="preserve">.  Lost Creek and Fort Union shall have each made an election under Section 754 of the Internal Revenue Code.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ind w:hanging="0" w:start="0"/>
        <w:rPr/>
      </w:pP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 provided, however, for purposes of this indemnity all of such representations and warranties shall be deemed to have been made “without materiality qualifications.”]</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ind w:hanging="0" w:start="0"/>
        <w:rPr/>
      </w:pPr>
      <w:r>
        <w:rPr>
          <w:u w:val="single"/>
        </w:rPr>
        <w:t>Indemnification by Purchaser</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severally but not jointly,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severally but not jointly,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ind w:hanging="0" w:start="0"/>
        <w:rPr/>
      </w:pPr>
      <w:r>
        <w:rPr>
          <w:u w:val="single"/>
        </w:rPr>
        <w:t>Notice and Defense of Third-Party Claims</w:t>
      </w:r>
      <w:r>
        <w:rPr/>
        <w:t>.</w:t>
      </w:r>
    </w:p>
    <w:p>
      <w:pPr>
        <w:pStyle w:val="Heading3"/>
        <w:keepNext w:val="true"/>
        <w:ind w:hanging="0" w:start="0"/>
        <w:rPr/>
      </w:pPr>
      <w:r>
        <w:rPr/>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ind w:hanging="0" w:start="0"/>
        <w:rPr/>
      </w:pPr>
      <w:r>
        <w:rPr>
          <w:u w:val="single"/>
        </w:rPr>
        <w:t>Limits on Indemnity Obligations</w:t>
      </w:r>
      <w:r>
        <w:rPr/>
        <w:t xml:space="preserve">.  </w:t>
      </w:r>
    </w:p>
    <w:p>
      <w:pPr>
        <w:pStyle w:val="Heading3"/>
        <w:ind w:hanging="0" w:start="0"/>
        <w:rPr/>
      </w:pPr>
      <w:r>
        <w:rPr/>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ind w:hanging="0" w:start="0"/>
        <w:rPr/>
      </w:pPr>
      <w:r>
        <w:rPr/>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Entity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the Indemnifying Party be liable to the Indemnified Party for any indirect, consequential, special, exemplary or punitive damages, except to the extent constituting part of a third party claim suffered or incurred by the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ind w:hanging="0" w:start="0"/>
        <w:rPr/>
      </w:pPr>
      <w:r>
        <w:rPr/>
        <w:t xml:space="preserve">ALL RELEASES, DISCLAIMERS, LIMITATIONS ON LIABILITY, AND INDEMNITIES IN THIS AGREEMENT, INCLUDING THOSE IN THIS </w:t>
      </w:r>
      <w:r>
        <w:rPr>
          <w:u w:val="single"/>
        </w:rPr>
        <w:t>ARTICLE VI</w:t>
      </w:r>
      <w:r>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and (iii) pursue all rights or contribution or other recoveries afforded under applicable law (including, but not limited to, remedies awarded under Environmental Laws) against third parties.  Pursuit of any and all such claims or rights of recovery shall be at the sole cost and expense, and for the sole benefit, of the Indemnifying Party.</w:t>
      </w:r>
    </w:p>
    <w:p>
      <w:pPr>
        <w:pStyle w:val="Heading2"/>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gas transportation pipeline, or natural gas transmission system in the Specified Geographical Area, other than (i) sales or distribution pipelines connecting to end users or (ii) any natural gas transportation pipeline or transmission system in the I-80 Corridor (each a “</w:t>
      </w:r>
      <w:r>
        <w:rPr>
          <w:u w:val="single"/>
        </w:rPr>
        <w:t>Specified Project</w:t>
      </w:r>
      <w:r>
        <w:rPr/>
        <w:t xml:space="preserve">”), then Seller shall promptly give notice to Purchaser of such proposed development or acquisition and Purchaser shall have the preferential right to participate with Seller in one hundred percent (100%) of the asset based equity portion of the Specified Project.  </w:t>
      </w:r>
      <w:r>
        <w:rPr>
          <w:i/>
        </w:rPr>
        <w:t>[Insert participation terms].</w:t>
      </w:r>
      <w:r>
        <w:rPr/>
        <w:t xml:space="preserve">  Any Specified Project developed by Seller’s producer finance department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notice to Seller of such proposed transaction and Seller (or its designee) shall have the preferential right to participate in one hundred percent (100%) of the gas or other energy linked commodity transactions related to the Specified Project, including access to gathering or transportation services on a Specified Project.  </w:t>
      </w:r>
      <w:r>
        <w:rPr>
          <w:i/>
        </w:rPr>
        <w:t>[Insert participation terms].</w:t>
      </w:r>
      <w:r>
        <w:rPr/>
        <w:t xml:space="preserve">  Additionally, Seller shall retain the preferential right to access the capacity to be owned by Purchaser in the Fort Union gas gathering header and the EMS Gathering System for the purposes of gas or other commodity linked transactions.  </w:t>
      </w:r>
    </w:p>
    <w:p>
      <w:pPr>
        <w:pStyle w:val="Heading2"/>
        <w:ind w:hanging="0" w:start="0"/>
        <w:rPr/>
      </w:pP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ind w:hanging="0" w:start="0"/>
        <w:rPr/>
      </w:pPr>
      <w:r>
        <w:rPr>
          <w:u w:val="single"/>
        </w:rPr>
        <w:t>Certain Proprietary Rights</w:t>
      </w:r>
      <w:r>
        <w:rPr/>
        <w:t xml:space="preserve">.  The proprietary rights to gas gathering transactions under development by Seller as of the Closing Date in the Specified Geographical Area shall be assigned to Purchaser.  The proprietary rights to the projects listed and described in </w:t>
      </w:r>
      <w:r>
        <w:rPr>
          <w:u w:val="single"/>
        </w:rPr>
        <w:t>Schedule 7.4</w:t>
      </w:r>
      <w:r>
        <w:rPr/>
        <w:t>, even if being developed by the Transferred Employees, shall remain property of the Seller.</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rPr/>
      </w:pPr>
      <w:r>
        <w:rPr/>
        <w:t>If to Seller:</w:t>
      </w:r>
    </w:p>
    <w:p>
      <w:pPr>
        <w:pStyle w:val="BodyTextIndent"/>
        <w:rPr/>
      </w:pPr>
      <w:r>
        <w:rPr/>
        <w:t>Enron North America Corp.</w:t>
      </w:r>
    </w:p>
    <w:p>
      <w:pPr>
        <w:pStyle w:val="BodyTextIndent"/>
        <w:rPr/>
      </w:pPr>
      <w:r>
        <w:rPr/>
        <w:t>1400 Smith Street</w:t>
      </w:r>
    </w:p>
    <w:p>
      <w:pPr>
        <w:pStyle w:val="BodyTextIndent"/>
        <w:rPr/>
      </w:pPr>
      <w:r>
        <w:rPr/>
        <w:t>Houston, Texas  77002</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rPr/>
      </w:pPr>
      <w:r>
        <w:rPr/>
        <w:t>Northern Border Intermediate Limited Partnership</w:t>
      </w:r>
    </w:p>
    <w:p>
      <w:pPr>
        <w:pStyle w:val="BodyTextIndent"/>
        <w:rPr/>
      </w:pPr>
      <w:r>
        <w:rPr/>
        <w:t>1111 South 103</w:t>
      </w:r>
      <w:r>
        <w:rPr>
          <w:vertAlign w:val="superscript"/>
        </w:rPr>
        <w:t>rd</w:t>
      </w:r>
      <w:r>
        <w:rPr/>
        <w:t xml:space="preserve"> Street</w:t>
      </w:r>
    </w:p>
    <w:p>
      <w:pPr>
        <w:pStyle w:val="BodyTextIndent"/>
        <w:rPr/>
      </w:pPr>
      <w:r>
        <w:rPr/>
        <w:t>Omaha, Nebraska 68124-1000</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8.5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8.9(b)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NORTHERN BORDER INTERMEDIATE</w:t>
      </w:r>
    </w:p>
    <w:p>
      <w:pPr>
        <w:pStyle w:val="Signature"/>
        <w:rPr>
          <w:b/>
        </w:rPr>
      </w:pPr>
      <w:r>
        <w:rPr>
          <w:b/>
        </w:rPr>
        <w:t xml:space="preserve">    </w:t>
      </w:r>
      <w:r>
        <w:rPr>
          <w:b/>
        </w:rPr>
        <w:t>LIMITED PARTNERSHIP</w:t>
      </w:r>
    </w:p>
    <w:p>
      <w:pPr>
        <w:pStyle w:val="Signature"/>
        <w:rPr>
          <w:b/>
        </w:rPr>
      </w:pPr>
      <w:r>
        <w:rPr>
          <w:b/>
        </w:rPr>
      </w:r>
    </w:p>
    <w:p>
      <w:pPr>
        <w:pStyle w:val="Signature"/>
        <w:tabs>
          <w:tab w:val="left" w:pos="4860" w:leader="none"/>
          <w:tab w:val="right" w:pos="9360" w:leader="none"/>
        </w:tabs>
        <w:rPr/>
      </w:pPr>
      <w:r>
        <w:rPr/>
        <w:t>By:</w:t>
      </w:r>
      <w:r>
        <w:rPr>
          <w:u w:val="single"/>
        </w:rPr>
        <w:tab/>
        <w:tab/>
      </w:r>
    </w:p>
    <w:p>
      <w:pPr>
        <w:pStyle w:val="Signature"/>
        <w:tabs>
          <w:tab w:val="left" w:pos="4860" w:leader="none"/>
          <w:tab w:val="right" w:pos="9360" w:leader="none"/>
        </w:tabs>
        <w:rPr/>
      </w:pPr>
      <w:r>
        <w:rPr/>
        <w:tab/>
        <w:t>its general partner</w:t>
      </w:r>
    </w:p>
    <w:p>
      <w:pPr>
        <w:pStyle w:val="Signature"/>
        <w:rPr/>
      </w:pPr>
      <w:r>
        <w:rPr/>
      </w:r>
    </w:p>
    <w:p>
      <w:pPr>
        <w:pStyle w:val="Signature"/>
        <w:rPr/>
      </w:pPr>
      <w:r>
        <w:rPr/>
      </w:r>
    </w:p>
    <w:p>
      <w:pPr>
        <w:pStyle w:val="Signature"/>
        <w:rPr/>
      </w:pPr>
      <w:r>
        <w:rPr/>
      </w:r>
    </w:p>
    <w:p>
      <w:pPr>
        <w:pStyle w:val="Signature"/>
        <w:tabs>
          <w:tab w:val="left" w:pos="4860" w:leader="none"/>
          <w:tab w:val="right" w:pos="9360" w:leader="none"/>
        </w:tabs>
        <w:rPr/>
      </w:pPr>
      <w:r>
        <w:rPr/>
        <w:tab/>
        <w:t>By:</w:t>
      </w:r>
      <w:r>
        <w:rPr>
          <w:u w:val="single"/>
        </w:rPr>
        <w:tab/>
      </w:r>
    </w:p>
    <w:p>
      <w:pPr>
        <w:pStyle w:val="Signature"/>
        <w:tabs>
          <w:tab w:val="left" w:pos="4860" w:leader="none"/>
          <w:tab w:val="right" w:pos="9360" w:leader="none"/>
        </w:tabs>
        <w:rPr/>
      </w:pPr>
      <w:r>
        <w:rPr/>
        <w:tab/>
        <w:t>Name:</w:t>
      </w:r>
      <w:r>
        <w:rPr>
          <w:u w:val="single"/>
        </w:rPr>
        <w:tab/>
      </w:r>
    </w:p>
    <w:p>
      <w:pPr>
        <w:pStyle w:val="Signature"/>
        <w:tabs>
          <w:tab w:val="left" w:pos="4860" w:leader="none"/>
          <w:tab w:val="right" w:pos="9360" w:leader="none"/>
        </w:tabs>
        <w:rPr/>
      </w:pPr>
      <w:r>
        <w:rPr/>
        <w:tab/>
        <w:t>Title:</w:t>
      </w:r>
      <w:r>
        <w:rPr>
          <w:u w:val="single"/>
        </w:rPr>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Employment Agreements</w:t>
      </w:r>
    </w:p>
    <w:p>
      <w:pPr>
        <w:pStyle w:val="BodyText"/>
        <w:rPr/>
      </w:pPr>
      <w:r>
        <w:rPr/>
        <w:t>Exhibit B</w:t>
        <w:tab/>
        <w:t>-</w:t>
        <w:tab/>
        <w:t>EMS Gathering System</w:t>
      </w:r>
    </w:p>
    <w:p>
      <w:pPr>
        <w:pStyle w:val="BodyText"/>
        <w:rPr/>
      </w:pPr>
      <w:r>
        <w:rPr/>
        <w:t>Exhibit C</w:t>
        <w:tab/>
        <w:t>-</w:t>
        <w:tab/>
        <w:t>Management Agreement</w:t>
      </w:r>
    </w:p>
    <w:p>
      <w:pPr>
        <w:pStyle w:val="BodyText"/>
        <w:rPr/>
      </w:pPr>
      <w:r>
        <w:rPr/>
        <w:t>Exhibit D</w:t>
        <w:tab/>
        <w:t>-</w:t>
        <w:tab/>
        <w:t>EMS Gathering Agreement</w:t>
      </w:r>
    </w:p>
    <w:p>
      <w:pPr>
        <w:pStyle w:val="BodyText"/>
        <w:rPr/>
      </w:pPr>
      <w:r>
        <w:rPr/>
        <w:t>Exhibit E</w:t>
        <w:tab/>
        <w:t>-</w:t>
        <w:tab/>
        <w:t>Description of Specified Geographical Area</w:t>
      </w:r>
    </w:p>
    <w:p>
      <w:pPr>
        <w:pStyle w:val="BodyText"/>
        <w:rPr/>
      </w:pPr>
      <w:r>
        <w:rPr/>
        <w:t>Exhibit F</w:t>
        <w:tab/>
        <w:t>-</w:t>
        <w:tab/>
        <w:t>Assignment and Assumption Agreement</w:t>
      </w:r>
    </w:p>
    <w:p>
      <w:pPr>
        <w:pStyle w:val="BodyText"/>
        <w:rPr/>
      </w:pPr>
      <w:r>
        <w:rPr/>
        <w:t>Exhibit G</w:t>
        <w:tab/>
        <w:t>-</w:t>
        <w:tab/>
        <w:t>Seller’s Officer’s Certificate</w:t>
      </w:r>
    </w:p>
    <w:p>
      <w:pPr>
        <w:pStyle w:val="BodyText"/>
        <w:rPr/>
      </w:pPr>
      <w:r>
        <w:rPr/>
        <w:t>Exhibit H</w:t>
        <w:tab/>
        <w:t>-</w:t>
        <w:tab/>
        <w:t>Guaranty</w:t>
      </w:r>
    </w:p>
    <w:p>
      <w:pPr>
        <w:pStyle w:val="BodyText"/>
        <w:rPr/>
      </w:pPr>
      <w:r>
        <w:rPr/>
        <w:t>Exhibit I</w:t>
        <w:tab/>
        <w:t>-</w:t>
        <w:tab/>
        <w:t>Purchaser’s Officer’s Certificate</w:t>
      </w:r>
    </w:p>
    <w:p>
      <w:pPr>
        <w:pStyle w:val="BodyText"/>
        <w:rPr/>
      </w:pPr>
      <w:r>
        <w:rPr/>
        <w:t>Exhibit J</w:t>
        <w:tab/>
        <w:t>-</w:t>
        <w:tab/>
        <w:t>Organization Chart</w:t>
      </w:r>
    </w:p>
    <w:p>
      <w:pPr>
        <w:pStyle w:val="BodyText"/>
        <w:rPr/>
      </w:pPr>
      <w:r>
        <w:rPr/>
      </w:r>
    </w:p>
    <w:p>
      <w:pPr>
        <w:pStyle w:val="BodyText"/>
        <w:rPr/>
      </w:pPr>
      <w:r>
        <w:rPr/>
        <w:t>DISCLOSURE SCHEDULE:</w:t>
      </w:r>
    </w:p>
    <w:p>
      <w:pPr>
        <w:pStyle w:val="BodyText"/>
        <w:rPr/>
      </w:pPr>
      <w:r>
        <w:rPr/>
      </w:r>
    </w:p>
    <w:p>
      <w:pPr>
        <w:pStyle w:val="BodyText"/>
        <w:rPr/>
      </w:pPr>
      <w:r>
        <w:rPr/>
        <w:t>Schedule 1.1(a)</w:t>
        <w:tab/>
        <w:t>-</w:t>
        <w:tab/>
        <w:t>EMS Gathering Agreements</w:t>
      </w:r>
    </w:p>
    <w:p>
      <w:pPr>
        <w:pStyle w:val="BodyText"/>
        <w:rPr/>
      </w:pPr>
      <w:r>
        <w:rPr/>
        <w:t>Schedule 1.1(b)</w:t>
        <w:tab/>
        <w:t>-</w:t>
        <w:tab/>
        <w:t>Firm Gas Gathering Agreements</w:t>
      </w:r>
    </w:p>
    <w:p>
      <w:pPr>
        <w:pStyle w:val="BodyText"/>
        <w:rPr/>
      </w:pPr>
      <w:r>
        <w:rPr/>
        <w:t>Schedule 1.1(c)</w:t>
        <w:tab/>
        <w:t>-</w:t>
        <w:tab/>
        <w:t>NCO Agreements</w:t>
      </w:r>
    </w:p>
    <w:p>
      <w:pPr>
        <w:pStyle w:val="BodyText"/>
        <w:rPr/>
      </w:pPr>
      <w:r>
        <w:rPr/>
        <w:t>Schedule 1.1(d)</w:t>
        <w:tab/>
        <w:t>-</w:t>
        <w:tab/>
        <w:t>Transferred Employees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Capital Account Balances</w:t>
      </w:r>
    </w:p>
    <w:p>
      <w:pPr>
        <w:pStyle w:val="BodyText"/>
        <w:rPr/>
      </w:pPr>
      <w:r>
        <w:rPr/>
        <w:t>Schedule 3.1(e)</w:t>
        <w:tab/>
        <w:t>-</w:t>
        <w:tab/>
        <w:t>Business Activities</w:t>
      </w:r>
    </w:p>
    <w:p>
      <w:pPr>
        <w:pStyle w:val="BodyText"/>
        <w:rPr/>
      </w:pPr>
      <w:r>
        <w:rPr/>
        <w:t>Schedule 3.1(i)</w:t>
        <w:tab/>
        <w:t>-</w:t>
        <w:tab/>
        <w:t>Financial Statements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4.4</w:t>
        <w:tab/>
        <w:tab/>
        <w:t>-</w:t>
        <w:tab/>
        <w:t>Seller’s Employees</w:t>
      </w:r>
    </w:p>
    <w:p>
      <w:pPr>
        <w:pStyle w:val="BodyText"/>
        <w:rPr/>
      </w:pPr>
      <w:r>
        <w:rPr/>
        <w:t>Schedule 4.5</w:t>
        <w:tab/>
        <w:tab/>
        <w:t>-</w:t>
        <w:tab/>
        <w:t>Preclosing Matters</w:t>
      </w:r>
    </w:p>
    <w:p>
      <w:pPr>
        <w:pStyle w:val="BodyText"/>
        <w:rPr/>
      </w:pPr>
      <w:r>
        <w:rPr/>
        <w:t>Schedule 7.1</w:t>
        <w:tab/>
        <w:tab/>
        <w:t>-</w:t>
        <w:tab/>
        <w:t>Retained Transactions</w:t>
      </w:r>
    </w:p>
    <w:p>
      <w:pPr>
        <w:pStyle w:val="BodyText"/>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562951.6</w:t>
      <w:tab/>
    </w:r>
    <w:r>
      <w:rPr>
        <w:i/>
        <w:sz w:val="20"/>
      </w:rPr>
      <w:t>Purchase and Sale Agreement</w:t>
    </w:r>
  </w:p>
  <w:p>
    <w:pPr>
      <w:pStyle w:val="Footer"/>
      <w:tabs>
        <w:tab w:val="clear" w:pos="4320"/>
        <w:tab w:val="clear" w:pos="8640"/>
        <w:tab w:val="right" w:pos="9360" w:leader="none"/>
      </w:tabs>
      <w:rPr>
        <w:i/>
        <w:i/>
        <w:sz w:val="20"/>
      </w:rPr>
    </w:pPr>
    <w:r>
      <w:rPr>
        <w:i/>
        <w:sz w:val="20"/>
      </w:rPr>
      <w:tab/>
      <w:t>Draft of 8/15/00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36</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Courier New" w:hAnsi="Courier New" w:cs="Courier New"/>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Courier New" w:hAnsi="Courier New" w:cs="Courier New"/>
      <w:b w:val="false"/>
      <w:i w:val="false"/>
      <w:sz w:val="22"/>
      <w:u w:val="none"/>
    </w:rPr>
  </w:style>
  <w:style w:type="character" w:styleId="WW8Num35z1">
    <w:name w:val="WW8Num35z1"/>
    <w:qFormat/>
    <w:rPr>
      <w:rFonts w:ascii="Courier New" w:hAnsi="Courier New" w:cs="Courier New"/>
      <w:b w:val="false"/>
      <w:i w:val="false"/>
      <w:sz w:val="24"/>
      <w:u w:val="none"/>
    </w:rPr>
  </w:style>
  <w:style w:type="character" w:styleId="WW8Num35z2">
    <w:name w:val="WW8Num35z2"/>
    <w:qFormat/>
    <w:rPr/>
  </w:style>
  <w:style w:type="character" w:styleId="WW8Num35z8">
    <w:name w:val="WW8Num35z8"/>
    <w:qFormat/>
    <w:rPr>
      <w:rFonts w:ascii="Courier New" w:hAnsi="Courier New" w:cs="Courier New"/>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2000-08-15T13:24:00Z</dcterms:created>
  <dc:creator>CMS Energy</dc:creator>
  <dc:description/>
  <dc:language>en-CA</dc:language>
  <cp:lastModifiedBy>A&amp;K</cp:lastModifiedBy>
  <cp:lastPrinted>2000-08-15T10:43:00Z</cp:lastPrinted>
  <dcterms:modified xsi:type="dcterms:W3CDTF">2000-08-15T13:24:00Z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