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CG Times" w:hAnsi="CG Times" w:cs="CG Times"/>
          <w:sz w:val="22"/>
        </w:rPr>
      </w:pPr>
      <w:r>
        <w:rPr>
          <w:rFonts w:cs="CG Times" w:ascii="CG Times" w:hAnsi="CG Times"/>
          <w:sz w:val="22"/>
        </w:rPr>
      </w:r>
    </w:p>
    <w:p>
      <w:pPr>
        <w:pStyle w:val="Normal"/>
        <w:rPr>
          <w:rFonts w:ascii="CG Times" w:hAnsi="CG Times" w:cs="CG Times"/>
          <w:sz w:val="22"/>
        </w:rPr>
      </w:pPr>
      <w:r>
        <w:rPr>
          <w:rFonts w:cs="CG Times" w:ascii="CG Times" w:hAnsi="CG Times"/>
          <w:sz w:val="22"/>
        </w:rPr>
      </w:r>
    </w:p>
    <w:p>
      <w:pPr>
        <w:pStyle w:val="Normal"/>
        <w:jc w:val="end"/>
        <w:rPr>
          <w:sz w:val="22"/>
        </w:rPr>
      </w:pPr>
      <w:r>
        <w:rPr>
          <w:sz w:val="22"/>
        </w:rPr>
      </w:r>
    </w:p>
    <w:p>
      <w:pPr>
        <w:pStyle w:val="Normal"/>
        <w:jc w:val="end"/>
        <w:rPr>
          <w:sz w:val="22"/>
        </w:rPr>
      </w:pPr>
      <w:r>
        <w:rPr>
          <w:sz w:val="22"/>
        </w:rPr>
        <w:t>March __, 2000</w:t>
      </w:r>
    </w:p>
    <w:p>
      <w:pPr>
        <w:pStyle w:val="Normal"/>
        <w:jc w:val="center"/>
        <w:rPr>
          <w:sz w:val="22"/>
        </w:rPr>
      </w:pPr>
      <w:r>
        <w:rPr>
          <w:sz w:val="22"/>
        </w:rPr>
      </w:r>
    </w:p>
    <w:p>
      <w:pPr>
        <w:pStyle w:val="Normal"/>
        <w:jc w:val="both"/>
        <w:rPr>
          <w:sz w:val="22"/>
        </w:rPr>
      </w:pPr>
      <w:r>
        <w:rPr>
          <w:sz w:val="22"/>
        </w:rPr>
      </w:r>
    </w:p>
    <w:p>
      <w:pPr>
        <w:pStyle w:val="Normal"/>
        <w:suppressAutoHyphens w:val="true"/>
        <w:rPr>
          <w:sz w:val="22"/>
        </w:rPr>
      </w:pPr>
      <w:r>
        <w:rPr>
          <w:sz w:val="22"/>
        </w:rPr>
        <w:t>[producer name]</w:t>
      </w:r>
    </w:p>
    <w:p>
      <w:pPr>
        <w:pStyle w:val="Normal"/>
        <w:suppressAutoHyphens w:val="true"/>
        <w:rPr>
          <w:sz w:val="22"/>
        </w:rPr>
      </w:pPr>
      <w:r>
        <w:rPr>
          <w:sz w:val="22"/>
        </w:rPr>
        <w:t>[producer address]</w:t>
      </w:r>
    </w:p>
    <w:p>
      <w:pPr>
        <w:pStyle w:val="Normal"/>
        <w:jc w:val="both"/>
        <w:rPr>
          <w:b/>
          <w:i/>
          <w:i/>
          <w:sz w:val="22"/>
        </w:rPr>
      </w:pPr>
      <w:r>
        <w:rPr>
          <w:b/>
          <w:i/>
          <w:sz w:val="22"/>
        </w:rPr>
      </w:r>
    </w:p>
    <w:p>
      <w:pPr>
        <w:pStyle w:val="Normal"/>
        <w:jc w:val="both"/>
        <w:rPr>
          <w:b/>
          <w:i/>
          <w:i/>
          <w:sz w:val="22"/>
        </w:rPr>
      </w:pPr>
      <w:r>
        <w:rPr>
          <w:b/>
          <w:i/>
          <w:sz w:val="22"/>
        </w:rPr>
        <w:t>Re:</w:t>
        <w:tab/>
        <w:t>Letter of Intent Regarding Bigtoe.com</w:t>
      </w:r>
    </w:p>
    <w:p>
      <w:pPr>
        <w:pStyle w:val="Normal"/>
        <w:jc w:val="both"/>
        <w:rPr>
          <w:b/>
          <w:i/>
          <w:i/>
          <w:sz w:val="22"/>
        </w:rPr>
      </w:pPr>
      <w:r>
        <w:rPr>
          <w:b/>
          <w:i/>
          <w:sz w:val="22"/>
        </w:rPr>
      </w:r>
    </w:p>
    <w:p>
      <w:pPr>
        <w:pStyle w:val="Normal"/>
        <w:jc w:val="both"/>
        <w:rPr>
          <w:sz w:val="22"/>
        </w:rPr>
      </w:pPr>
      <w:r>
        <w:rPr>
          <w:sz w:val="22"/>
        </w:rPr>
        <w:t>Gentlemen:</w:t>
      </w:r>
    </w:p>
    <w:p>
      <w:pPr>
        <w:pStyle w:val="Normal"/>
        <w:jc w:val="both"/>
        <w:rPr>
          <w:sz w:val="22"/>
        </w:rPr>
      </w:pPr>
      <w:r>
        <w:rPr>
          <w:sz w:val="22"/>
        </w:rPr>
      </w:r>
    </w:p>
    <w:p>
      <w:pPr>
        <w:pStyle w:val="Normal"/>
        <w:jc w:val="both"/>
        <w:rPr>
          <w:sz w:val="22"/>
        </w:rPr>
      </w:pPr>
      <w:r>
        <w:rPr>
          <w:sz w:val="22"/>
        </w:rPr>
        <w:tab/>
        <w:t>This letter sets forth the basic terms and conditions pursuant to which Enron North America Corp. (“ENA”) and _________________________ (“Producer”)  intend to enter into a Shareholders Agreement regarding Bigtoe.com (the “Transaction”).</w:t>
      </w:r>
    </w:p>
    <w:p>
      <w:pPr>
        <w:pStyle w:val="Normal"/>
        <w:jc w:val="both"/>
        <w:rPr>
          <w:sz w:val="22"/>
        </w:rPr>
      </w:pPr>
      <w:r>
        <w:rPr>
          <w:sz w:val="22"/>
        </w:rPr>
        <w:t xml:space="preserve"> </w:t>
      </w:r>
    </w:p>
    <w:p>
      <w:pPr>
        <w:pStyle w:val="Normal"/>
        <w:numPr>
          <w:ilvl w:val="0"/>
          <w:numId w:val="8"/>
        </w:numPr>
        <w:jc w:val="both"/>
        <w:rPr>
          <w:sz w:val="22"/>
        </w:rPr>
      </w:pPr>
      <w:r>
        <w:rPr>
          <w:sz w:val="22"/>
          <w:u w:val="single"/>
        </w:rPr>
        <w:t>Term Sheet</w:t>
      </w:r>
      <w:r>
        <w:rPr>
          <w:sz w:val="22"/>
        </w:rPr>
        <w:t>.  ENA and Producer intend to complete the Transaction in accordance with the commercial terms set forth in this letter and the Term Sheet attached hereto as Attachment “A.” To the extent there is any conflict between the Term Sheet and this letter, this letter shall control.  It is the intention of ENA and Producer to complete the Transaction by __________, 2000 (the “Closing Date”).</w:t>
      </w:r>
    </w:p>
    <w:p>
      <w:pPr>
        <w:pStyle w:val="Normal"/>
        <w:jc w:val="both"/>
        <w:rPr>
          <w:sz w:val="22"/>
        </w:rPr>
      </w:pPr>
      <w:r>
        <w:rPr>
          <w:sz w:val="22"/>
        </w:rPr>
      </w:r>
    </w:p>
    <w:p>
      <w:pPr>
        <w:pStyle w:val="Normal"/>
        <w:numPr>
          <w:ilvl w:val="0"/>
          <w:numId w:val="8"/>
        </w:numPr>
        <w:jc w:val="both"/>
        <w:rPr>
          <w:sz w:val="22"/>
        </w:rPr>
      </w:pPr>
      <w:r>
        <w:rPr>
          <w:sz w:val="22"/>
          <w:u w:val="single"/>
        </w:rPr>
        <w:t>Confidentiality</w:t>
      </w:r>
      <w:r>
        <w:rPr>
          <w:sz w:val="22"/>
        </w:rPr>
        <w:t>.  The existence of this letter of intent and its contents are intended to be confidential and are not to be discussed with or disclosed to any third party (including, but not limited to the news media), except (i) with the express prior written consent of the other parties hereto, (ii) as may be required or appropriate in response to any summons, subpoena or discovery order or to comply with any applicable law, order, regulation or ruling or (iii) as ENA and Producer, or their designees, reasonably deem appropriate in order to conduct due diligence, title or other investigation relating to the contemplated transactions.   The parties agree that any announcements relating to the Transaction to the news media shall be made pursuant to a joint press release subject to the prior review and consent of each party.</w:t>
      </w:r>
    </w:p>
    <w:p>
      <w:pPr>
        <w:pStyle w:val="Normal"/>
        <w:jc w:val="both"/>
        <w:rPr>
          <w:sz w:val="22"/>
        </w:rPr>
      </w:pPr>
      <w:r>
        <w:rPr>
          <w:sz w:val="22"/>
        </w:rPr>
      </w:r>
    </w:p>
    <w:p>
      <w:pPr>
        <w:pStyle w:val="Normal"/>
        <w:numPr>
          <w:ilvl w:val="0"/>
          <w:numId w:val="5"/>
        </w:numPr>
        <w:jc w:val="both"/>
        <w:rPr>
          <w:sz w:val="22"/>
        </w:rPr>
      </w:pPr>
      <w:r>
        <w:rPr>
          <w:sz w:val="22"/>
          <w:u w:val="single"/>
        </w:rPr>
        <w:t>Expenses</w:t>
      </w:r>
      <w:r>
        <w:rPr>
          <w:sz w:val="22"/>
        </w:rPr>
        <w:t>.  The Parties shall be responsible for their own legal expenses, including fees and expenses of counsel, advisors and consultants.</w:t>
      </w:r>
    </w:p>
    <w:p>
      <w:pPr>
        <w:pStyle w:val="Normal"/>
        <w:jc w:val="both"/>
        <w:rPr>
          <w:sz w:val="22"/>
          <w:u w:val="single"/>
        </w:rPr>
      </w:pPr>
      <w:r>
        <w:rPr>
          <w:sz w:val="22"/>
          <w:u w:val="single"/>
        </w:rPr>
      </w:r>
    </w:p>
    <w:p>
      <w:pPr>
        <w:pStyle w:val="Normal"/>
        <w:numPr>
          <w:ilvl w:val="0"/>
          <w:numId w:val="5"/>
        </w:numPr>
        <w:jc w:val="both"/>
        <w:rPr>
          <w:sz w:val="22"/>
        </w:rPr>
      </w:pPr>
      <w:r>
        <w:rPr>
          <w:sz w:val="22"/>
          <w:u w:val="single"/>
        </w:rPr>
        <w:t>Exclusivity</w:t>
      </w:r>
      <w:r>
        <w:rPr>
          <w:sz w:val="22"/>
        </w:rPr>
        <w:t>.   During the Exclusivity Period (defined below), the Vendors agree to use their best efforts to work with the Purchasers to close and complete the Transaction, and the Vendors will not directly or indirectly or in any manner whatsoever (including, without restriction, through an affiliate or subsidiary or through any agency, trust or nominee arrangement):</w:t>
      </w:r>
    </w:p>
    <w:p>
      <w:pPr>
        <w:pStyle w:val="Normal"/>
        <w:jc w:val="both"/>
        <w:rPr>
          <w:sz w:val="22"/>
        </w:rPr>
      </w:pPr>
      <w:r>
        <w:rPr>
          <w:sz w:val="22"/>
        </w:rPr>
      </w:r>
    </w:p>
    <w:p>
      <w:pPr>
        <w:pStyle w:val="BodyTextIndent"/>
        <w:numPr>
          <w:ilvl w:val="0"/>
          <w:numId w:val="2"/>
        </w:numPr>
        <w:rPr/>
      </w:pPr>
      <w:r>
        <w:rPr/>
        <w:t xml:space="preserve">enter into or agree to enter into, any binding agreement with respect to _________________________, or make or solicit any proposal or offer with respect to _________________________ which competes with, or may compete with, the Transaction (including, without restriction, by way of equity, debt, participation, agency, management or operatorship); or </w:t>
      </w:r>
    </w:p>
    <w:p>
      <w:pPr>
        <w:pStyle w:val="Normal"/>
        <w:ind w:firstLine="720" w:end="0"/>
        <w:jc w:val="both"/>
        <w:rPr>
          <w:sz w:val="22"/>
        </w:rPr>
      </w:pPr>
      <w:r>
        <w:rPr>
          <w:sz w:val="22"/>
        </w:rPr>
      </w:r>
    </w:p>
    <w:p>
      <w:pPr>
        <w:pStyle w:val="Normal"/>
        <w:numPr>
          <w:ilvl w:val="0"/>
          <w:numId w:val="2"/>
        </w:numPr>
        <w:jc w:val="both"/>
        <w:rPr>
          <w:sz w:val="22"/>
        </w:rPr>
      </w:pPr>
      <w:r>
        <w:rPr>
          <w:sz w:val="22"/>
        </w:rPr>
        <w:t>sell or agree to sell, solicit or make any proposal or offer to sell any interest in _________________________ or otherwise sell any interest in _________________________.</w:t>
      </w:r>
    </w:p>
    <w:p>
      <w:pPr>
        <w:pStyle w:val="Normal"/>
        <w:jc w:val="both"/>
        <w:rPr>
          <w:sz w:val="22"/>
        </w:rPr>
      </w:pPr>
      <w:r>
        <w:rPr>
          <w:sz w:val="22"/>
        </w:rPr>
      </w:r>
    </w:p>
    <w:p>
      <w:pPr>
        <w:pStyle w:val="Normal"/>
        <w:ind w:start="720" w:end="0"/>
        <w:jc w:val="both"/>
        <w:rPr>
          <w:sz w:val="22"/>
        </w:rPr>
      </w:pPr>
      <w:r>
        <w:rPr>
          <w:sz w:val="22"/>
        </w:rPr>
        <w:t>For breach of this paragraph 4, the Purchasers shall be entitled, without proof of damage, to all equitable and injunctive relief.  The provisions of this paragraph 4 shall be binding until the earlier of:  (i) the execution of Definitive Agreements (as defined in paragraph 5 below), or (ii) 90 days from the date of acceptance of this letter by the Vendors (the “Outside Date”); provided, however, if Purchasers are making diligent efforts to satisfy the conditions specified in paragraph 5(i) below, the Vendors will consider in good faith an extension of such Outside Date beyond such initial 90 day period (the “Exclusivity Period”).  In the event Purchasers and Vendors are unable to execute such definitive agreements by the end of the Exclusivity Period, this letter shall be deemed terminated, and neither Purchasers nor Vendors shall have any further obligation to the other, except as provided in paragraphs 2 and 3, which obligations shall survive the termination of this letter.</w:t>
      </w:r>
    </w:p>
    <w:p>
      <w:pPr>
        <w:pStyle w:val="Normal"/>
        <w:jc w:val="both"/>
        <w:rPr>
          <w:sz w:val="22"/>
          <w:u w:val="single"/>
        </w:rPr>
      </w:pPr>
      <w:r>
        <w:rPr>
          <w:sz w:val="22"/>
          <w:u w:val="single"/>
        </w:rPr>
      </w:r>
    </w:p>
    <w:p>
      <w:pPr>
        <w:pStyle w:val="Normal"/>
        <w:numPr>
          <w:ilvl w:val="0"/>
          <w:numId w:val="5"/>
        </w:numPr>
        <w:jc w:val="both"/>
        <w:rPr>
          <w:sz w:val="22"/>
        </w:rPr>
      </w:pPr>
      <w:r>
        <w:rPr>
          <w:sz w:val="22"/>
          <w:u w:val="single"/>
        </w:rPr>
        <w:t>Conditions</w:t>
      </w:r>
      <w:r>
        <w:rPr>
          <w:sz w:val="22"/>
        </w:rPr>
        <w:t xml:space="preserve">.  </w:t>
      </w:r>
    </w:p>
    <w:p>
      <w:pPr>
        <w:pStyle w:val="Normal"/>
        <w:jc w:val="both"/>
        <w:rPr>
          <w:sz w:val="22"/>
          <w:u w:val="single"/>
        </w:rPr>
      </w:pPr>
      <w:r>
        <w:rPr>
          <w:sz w:val="22"/>
          <w:u w:val="single"/>
        </w:rPr>
      </w:r>
    </w:p>
    <w:p>
      <w:pPr>
        <w:pStyle w:val="Normal"/>
        <w:numPr>
          <w:ilvl w:val="0"/>
          <w:numId w:val="3"/>
        </w:numPr>
        <w:jc w:val="both"/>
        <w:rPr>
          <w:sz w:val="22"/>
        </w:rPr>
      </w:pPr>
      <w:r>
        <w:rPr>
          <w:sz w:val="22"/>
        </w:rPr>
        <w:t xml:space="preserve"> </w:t>
      </w:r>
      <w:r>
        <w:rPr>
          <w:sz w:val="22"/>
        </w:rPr>
        <w:t>The Purchasers’ obligation to complete and close the Transaction is subject to the following conditions to the satisfaction of each of the Purchasers:</w:t>
      </w:r>
    </w:p>
    <w:p>
      <w:pPr>
        <w:pStyle w:val="Normal"/>
        <w:jc w:val="both"/>
        <w:rPr>
          <w:sz w:val="22"/>
        </w:rPr>
      </w:pPr>
      <w:r>
        <w:rPr>
          <w:sz w:val="22"/>
        </w:rPr>
      </w:r>
    </w:p>
    <w:p>
      <w:pPr>
        <w:pStyle w:val="Normal"/>
        <w:numPr>
          <w:ilvl w:val="0"/>
          <w:numId w:val="6"/>
        </w:numPr>
        <w:jc w:val="both"/>
        <w:rPr>
          <w:sz w:val="22"/>
        </w:rPr>
      </w:pPr>
      <w:r>
        <w:rPr>
          <w:sz w:val="22"/>
        </w:rPr>
        <w:t>approval of the Board of Directors of each of ENA (including requisite Board of Director approval of ENA’s parent, Enron Corp.) and _________________________ to close and fund the purchase of shares in _________________________ from the Vendors;</w:t>
      </w:r>
    </w:p>
    <w:p>
      <w:pPr>
        <w:pStyle w:val="Normal"/>
        <w:ind w:start="1440" w:end="0"/>
        <w:jc w:val="both"/>
        <w:rPr>
          <w:sz w:val="22"/>
        </w:rPr>
      </w:pPr>
      <w:r>
        <w:rPr>
          <w:sz w:val="22"/>
        </w:rPr>
      </w:r>
    </w:p>
    <w:p>
      <w:pPr>
        <w:pStyle w:val="Normal"/>
        <w:numPr>
          <w:ilvl w:val="0"/>
          <w:numId w:val="6"/>
        </w:numPr>
        <w:jc w:val="both"/>
        <w:rPr>
          <w:sz w:val="22"/>
        </w:rPr>
      </w:pPr>
      <w:r>
        <w:rPr>
          <w:sz w:val="22"/>
        </w:rPr>
        <w:t>negotiation, execution and delivery of a definitive agreement with the Vendors, in form and substance satisfactory to the Purchasers, relating to the acquisition of all outstanding shares in _________________________ held by the Vendors (the “Purchase Agreement”), such Purchase Agreement to contain conditions precedent, including but not limited to, (i) negotiation, execution and delivery of a labor settlement agreement(s) between the Purchasers and pulp mill workers at      ___________________ (“Workers”), on terms and conditions satisfactory to the Purchasers, addressing, among other matters, (1) the reacquisition of shares held by the Workers and release of all claims in respect thereto, and (2) conclusion of an acceptable union settlement agreement with respect to workplace rules and other matters (Purchasers and Vendors jointly participate in all negotiations with Workers), (ii) the transfer of the Woodlands Assets and related liabilities to Vendors out of _________________________ prior to closing, (iii) there shall not have occurred a materially adverse change in the Purchasers’ valuation of _________________________ due to the operation of _________________________, damage, loss or condemnation of any material assets of _________________________, or a change in the currency markets, and (iv) such further conditions precedent as are customary and usual for transactions of this type;</w:t>
      </w:r>
    </w:p>
    <w:p>
      <w:pPr>
        <w:pStyle w:val="Normal"/>
        <w:jc w:val="both"/>
        <w:rPr>
          <w:sz w:val="22"/>
        </w:rPr>
      </w:pPr>
      <w:r>
        <w:rPr>
          <w:sz w:val="22"/>
        </w:rPr>
      </w:r>
    </w:p>
    <w:p>
      <w:pPr>
        <w:pStyle w:val="Normal"/>
        <w:numPr>
          <w:ilvl w:val="0"/>
          <w:numId w:val="6"/>
        </w:numPr>
        <w:jc w:val="both"/>
        <w:rPr>
          <w:sz w:val="22"/>
        </w:rPr>
      </w:pPr>
      <w:r>
        <w:rPr>
          <w:sz w:val="22"/>
        </w:rPr>
        <w:t xml:space="preserve">negotiation, execution and delivery of definitive agreements (together with the Purchase Agreement, collectively referred to as the “Definitive Agreements”) relating to the structure, governance and operation of _________________________, in form and substance satisfactory to each of the Purchasers, including but not limited to a wood chip supply agreement between _________________________ and __________________ containing the terms and conditions set forth in the Term Sheet under the heading “___________;” </w:t>
      </w:r>
    </w:p>
    <w:p>
      <w:pPr>
        <w:pStyle w:val="Normal"/>
        <w:jc w:val="both"/>
        <w:rPr>
          <w:sz w:val="22"/>
        </w:rPr>
      </w:pPr>
      <w:r>
        <w:rPr>
          <w:sz w:val="22"/>
        </w:rPr>
      </w:r>
    </w:p>
    <w:p>
      <w:pPr>
        <w:pStyle w:val="Normal"/>
        <w:numPr>
          <w:ilvl w:val="0"/>
          <w:numId w:val="6"/>
        </w:numPr>
        <w:jc w:val="both"/>
        <w:rPr>
          <w:sz w:val="22"/>
        </w:rPr>
      </w:pPr>
      <w:r>
        <w:rPr>
          <w:sz w:val="22"/>
        </w:rPr>
        <w:t>obtaining commitments satisfactory to the Purchasers with third-party lenders (“Lenders”) with respect to debt financing, on a non-recourse basis, relating to such portion of the Purchase Price of _________________________ and related costs, as the Purchasers may agree;</w:t>
      </w:r>
    </w:p>
    <w:p>
      <w:pPr>
        <w:pStyle w:val="Normal"/>
        <w:jc w:val="both"/>
        <w:rPr>
          <w:sz w:val="22"/>
        </w:rPr>
      </w:pPr>
      <w:r>
        <w:rPr>
          <w:sz w:val="22"/>
        </w:rPr>
      </w:r>
    </w:p>
    <w:p>
      <w:pPr>
        <w:pStyle w:val="Normal"/>
        <w:numPr>
          <w:ilvl w:val="0"/>
          <w:numId w:val="6"/>
        </w:numPr>
        <w:jc w:val="both"/>
        <w:rPr>
          <w:sz w:val="22"/>
        </w:rPr>
      </w:pPr>
      <w:r>
        <w:rPr>
          <w:sz w:val="22"/>
        </w:rPr>
        <w:t>the finalization of the Purchasers’ due diligence review to their satisfaction;</w:t>
      </w:r>
    </w:p>
    <w:p>
      <w:pPr>
        <w:pStyle w:val="Normal"/>
        <w:jc w:val="both"/>
        <w:rPr>
          <w:sz w:val="22"/>
        </w:rPr>
      </w:pPr>
      <w:r>
        <w:rPr>
          <w:sz w:val="22"/>
        </w:rPr>
      </w:r>
    </w:p>
    <w:p>
      <w:pPr>
        <w:pStyle w:val="BodyTextIndent2"/>
        <w:numPr>
          <w:ilvl w:val="0"/>
          <w:numId w:val="6"/>
        </w:numPr>
        <w:rPr>
          <w:sz w:val="22"/>
        </w:rPr>
      </w:pPr>
      <w:r>
        <w:rPr>
          <w:sz w:val="22"/>
        </w:rPr>
        <w:t>the Purchasers shall be satisfied in their reasonable judgement, after conducting due diligence, that sufficient sources of fibre exist (in addition to fibre to be supplied by the ____________________ pursuant to the long-term chip supply agreement described under the heading “____________________” below) to meet the needs of the pulp mill over the next 20 years on an economically feasible basis.</w:t>
      </w:r>
    </w:p>
    <w:p>
      <w:pPr>
        <w:pStyle w:val="BodyTextIndent3"/>
        <w:ind w:hanging="0" w:start="0" w:end="0"/>
        <w:rPr>
          <w:sz w:val="22"/>
        </w:rPr>
      </w:pPr>
      <w:r>
        <w:rPr>
          <w:sz w:val="22"/>
        </w:rPr>
      </w:r>
    </w:p>
    <w:p>
      <w:pPr>
        <w:pStyle w:val="Normal"/>
        <w:jc w:val="both"/>
        <w:rPr>
          <w:sz w:val="22"/>
          <w:u w:val="single"/>
        </w:rPr>
      </w:pPr>
      <w:r>
        <w:rPr>
          <w:sz w:val="22"/>
        </w:rPr>
        <w:tab/>
      </w:r>
    </w:p>
    <w:p>
      <w:pPr>
        <w:pStyle w:val="Normal"/>
        <w:numPr>
          <w:ilvl w:val="0"/>
          <w:numId w:val="7"/>
        </w:numPr>
        <w:jc w:val="both"/>
        <w:rPr>
          <w:sz w:val="22"/>
        </w:rPr>
      </w:pPr>
      <w:r>
        <w:rPr>
          <w:sz w:val="22"/>
        </w:rPr>
        <w:t>The Vendors’ obligation to complete and close the Transaction is subject to the following conditions to the satisfaction of each of the Vendors:</w:t>
      </w:r>
    </w:p>
    <w:p>
      <w:pPr>
        <w:pStyle w:val="Normal"/>
        <w:ind w:start="720" w:end="0"/>
        <w:jc w:val="both"/>
        <w:rPr>
          <w:sz w:val="22"/>
        </w:rPr>
      </w:pPr>
      <w:r>
        <w:rPr>
          <w:sz w:val="22"/>
        </w:rPr>
      </w:r>
    </w:p>
    <w:p>
      <w:pPr>
        <w:pStyle w:val="Normal"/>
        <w:numPr>
          <w:ilvl w:val="0"/>
          <w:numId w:val="4"/>
        </w:numPr>
        <w:jc w:val="both"/>
        <w:rPr>
          <w:sz w:val="22"/>
        </w:rPr>
      </w:pPr>
      <w:r>
        <w:rPr>
          <w:sz w:val="22"/>
        </w:rPr>
        <w:t>approval of the ____________________’s Cabinet to sell and transfer its shares in _________________________ to the Purchasers; and</w:t>
      </w:r>
    </w:p>
    <w:p>
      <w:pPr>
        <w:pStyle w:val="Normal"/>
        <w:ind w:start="1440" w:end="0"/>
        <w:jc w:val="both"/>
        <w:rPr>
          <w:sz w:val="22"/>
        </w:rPr>
      </w:pPr>
      <w:r>
        <w:rPr>
          <w:sz w:val="22"/>
        </w:rPr>
      </w:r>
    </w:p>
    <w:p>
      <w:pPr>
        <w:pStyle w:val="Normal"/>
        <w:numPr>
          <w:ilvl w:val="0"/>
          <w:numId w:val="4"/>
        </w:numPr>
        <w:tabs>
          <w:tab w:val="clear" w:pos="720"/>
        </w:tabs>
        <w:jc w:val="both"/>
        <w:rPr>
          <w:sz w:val="22"/>
        </w:rPr>
      </w:pPr>
      <w:r>
        <w:rPr>
          <w:sz w:val="22"/>
        </w:rPr>
        <w:t>approval of the Board of Directors of each of ________ to sell and transfer its shares in _________________________ to the Purchasers.</w:t>
      </w:r>
    </w:p>
    <w:p>
      <w:pPr>
        <w:pStyle w:val="Normal"/>
        <w:jc w:val="both"/>
        <w:rPr>
          <w:sz w:val="22"/>
          <w:u w:val="single"/>
        </w:rPr>
      </w:pPr>
      <w:r>
        <w:rPr>
          <w:sz w:val="22"/>
          <w:u w:val="single"/>
        </w:rPr>
      </w:r>
    </w:p>
    <w:p>
      <w:pPr>
        <w:pStyle w:val="Normal"/>
        <w:numPr>
          <w:ilvl w:val="0"/>
          <w:numId w:val="5"/>
        </w:numPr>
        <w:jc w:val="both"/>
        <w:rPr>
          <w:sz w:val="22"/>
        </w:rPr>
      </w:pP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 other than (i) that certain confidentiality letter, dated March 25, 1999 from _________________________ to ENA (formerly known as Enron Capital &amp; Trade Resources Corp., “ECT”), (ii) paragraph 5 of that certain letter dated July 13, 1999 from ECT pertaining to the confidentiality undertakings of each of the ____________________ and TD Bank, and (iii) that certain confidentiality agreement dated August 30, 1999 between _________________________ and ENA, which agreements and undertakings shall remain in full force and effect between and among the parties despite the execution of this letter.</w:t>
      </w:r>
    </w:p>
    <w:p>
      <w:pPr>
        <w:pStyle w:val="Normal"/>
        <w:ind w:hanging="720" w:start="720" w:end="-1440"/>
        <w:jc w:val="both"/>
        <w:rPr>
          <w:sz w:val="22"/>
        </w:rPr>
      </w:pPr>
      <w:r>
        <w:rPr>
          <w:sz w:val="22"/>
        </w:rPr>
      </w:r>
    </w:p>
    <w:p>
      <w:pPr>
        <w:pStyle w:val="Normal"/>
        <w:jc w:val="both"/>
        <w:rPr>
          <w:sz w:val="22"/>
        </w:rPr>
      </w:pPr>
      <w:r>
        <w:rPr>
          <w:sz w:val="22"/>
        </w:rPr>
        <w:tab/>
        <w:t>If the terms and conditions of this letter are in accord with your understanding, please sign, and return the enclosed counterpart of this letter, no later than March 25, 2000, after which date, if not returned, this letter shall be null and void.</w:t>
      </w:r>
    </w:p>
    <w:p>
      <w:pPr>
        <w:pStyle w:val="Normal"/>
        <w:jc w:val="both"/>
        <w:rPr>
          <w:sz w:val="22"/>
        </w:rPr>
      </w:pPr>
      <w:r>
        <w:rPr>
          <w:sz w:val="22"/>
        </w:rPr>
      </w:r>
    </w:p>
    <w:p>
      <w:pPr>
        <w:pStyle w:val="Normal"/>
        <w:keepNext w:val="true"/>
        <w:ind w:start="4320" w:end="0"/>
        <w:jc w:val="both"/>
        <w:rPr>
          <w:sz w:val="22"/>
        </w:rPr>
      </w:pPr>
      <w:r>
        <w:rPr>
          <w:sz w:val="22"/>
        </w:rPr>
        <w:t>Very truly yours,</w:t>
      </w:r>
    </w:p>
    <w:p>
      <w:pPr>
        <w:pStyle w:val="Normal"/>
        <w:keepNext w:val="true"/>
        <w:ind w:start="4320" w:end="0"/>
        <w:jc w:val="both"/>
        <w:rPr>
          <w:sz w:val="22"/>
        </w:rPr>
      </w:pPr>
      <w:r>
        <w:rPr>
          <w:sz w:val="22"/>
        </w:rPr>
      </w:r>
    </w:p>
    <w:p>
      <w:pPr>
        <w:pStyle w:val="Normal"/>
        <w:keepNext w:val="true"/>
        <w:tabs>
          <w:tab w:val="clear" w:pos="720"/>
          <w:tab w:val="right" w:pos="9360" w:leader="none"/>
        </w:tabs>
        <w:ind w:start="4320" w:end="0"/>
        <w:jc w:val="both"/>
        <w:rPr>
          <w:sz w:val="22"/>
        </w:rPr>
      </w:pPr>
      <w:r>
        <w:rPr>
          <w:sz w:val="22"/>
        </w:rPr>
        <w:t>ENRON NORTH AMERICA CORP.</w:t>
      </w:r>
    </w:p>
    <w:p>
      <w:pPr>
        <w:pStyle w:val="Normal"/>
        <w:keepNext w:val="true"/>
        <w:ind w:start="4320" w:end="0"/>
        <w:jc w:val="both"/>
        <w:rPr>
          <w:sz w:val="22"/>
        </w:rPr>
      </w:pPr>
      <w:r>
        <w:rPr>
          <w:sz w:val="22"/>
        </w:rPr>
      </w:r>
    </w:p>
    <w:p>
      <w:pPr>
        <w:pStyle w:val="Normal"/>
        <w:keepNext w:val="true"/>
        <w:ind w:start="4320" w:end="0"/>
        <w:jc w:val="both"/>
        <w:rPr>
          <w:sz w:val="22"/>
        </w:rPr>
      </w:pPr>
      <w:r>
        <w:rPr>
          <w:sz w:val="22"/>
        </w:rPr>
      </w:r>
    </w:p>
    <w:p>
      <w:pPr>
        <w:pStyle w:val="Normal"/>
        <w:keepNext w:val="true"/>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ind w:start="4320" w:end="0"/>
        <w:jc w:val="both"/>
        <w:rPr>
          <w:sz w:val="22"/>
        </w:rPr>
      </w:pPr>
      <w:r>
        <w:rPr>
          <w:sz w:val="22"/>
        </w:rPr>
      </w:r>
    </w:p>
    <w:p>
      <w:pPr>
        <w:pStyle w:val="Normal"/>
        <w:rPr>
          <w:sz w:val="22"/>
        </w:rPr>
      </w:pPr>
      <w:r>
        <w:rPr>
          <w:sz w:val="22"/>
        </w:rPr>
      </w:r>
    </w:p>
    <w:p>
      <w:pPr>
        <w:pStyle w:val="Normal"/>
        <w:keepNext w:val="true"/>
        <w:widowControl w:val="false"/>
        <w:jc w:val="both"/>
        <w:rPr>
          <w:sz w:val="22"/>
        </w:rPr>
      </w:pPr>
      <w:r>
        <w:rPr>
          <w:sz w:val="22"/>
        </w:rPr>
        <w:t>CONFIRMED</w:t>
      </w:r>
    </w:p>
    <w:p>
      <w:pPr>
        <w:pStyle w:val="Normal"/>
        <w:keepNext w:val="true"/>
        <w:widowControl w:val="false"/>
        <w:jc w:val="both"/>
        <w:rPr>
          <w:sz w:val="22"/>
        </w:rPr>
      </w:pPr>
      <w:r>
        <w:rPr>
          <w:sz w:val="22"/>
        </w:rPr>
        <w:t>this ____ day of March, 2000.</w:t>
      </w:r>
    </w:p>
    <w:p>
      <w:pPr>
        <w:pStyle w:val="Normal"/>
        <w:keepNext w:val="true"/>
        <w:widowControl w:val="false"/>
        <w:jc w:val="both"/>
        <w:rPr>
          <w:sz w:val="22"/>
        </w:rPr>
      </w:pPr>
      <w:r>
        <w:rPr>
          <w:sz w:val="22"/>
        </w:rPr>
      </w:r>
    </w:p>
    <w:p>
      <w:pPr>
        <w:pStyle w:val="Normal"/>
        <w:keepNext w:val="true"/>
        <w:widowControl w:val="false"/>
        <w:tabs>
          <w:tab w:val="clear" w:pos="720"/>
          <w:tab w:val="right" w:pos="5040" w:leader="none"/>
        </w:tabs>
        <w:jc w:val="both"/>
        <w:rPr>
          <w:sz w:val="22"/>
        </w:rPr>
      </w:pPr>
      <w:r>
        <w:rPr>
          <w:sz w:val="22"/>
        </w:rPr>
        <w:t>_____________________________________________</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keepNext w:val="true"/>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type w:val="nextPage"/>
      <w:pgSz w:w="12240" w:h="15840"/>
      <w:pgMar w:left="1440" w:right="1440" w:gutter="0" w:header="720" w:top="16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16"/>
      </w:rPr>
    </w:pPr>
    <w:r>
      <w:rPr>
        <w:rFonts w:cs="Times New Roman" w:ascii="Times New Roman" w:hAnsi="Times New Roman"/>
        <w:b/>
        <w:i/>
        <w:sz w:val="16"/>
      </w:rPr>
      <w:t>ENA Draft Feb. 22,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170"/>
        </w:tabs>
        <w:ind w:start="1170" w:hanging="450"/>
      </w:pPr>
      <w:rPr/>
    </w:lvl>
  </w:abstractNum>
  <w:abstractNum w:abstractNumId="3">
    <w:lvl w:ilvl="0">
      <w:start w:val="9"/>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890"/>
        </w:tabs>
        <w:ind w:start="1890" w:hanging="450"/>
      </w:pPr>
      <w:rPr/>
    </w:lvl>
  </w:abstractNum>
  <w:abstractNum w:abstractNumId="5">
    <w:lvl w:ilvl="0">
      <w:start w:val="3"/>
      <w:numFmt w:val="decimal"/>
      <w:lvlText w:val="%1."/>
      <w:lvlJc w:val="start"/>
      <w:pPr>
        <w:tabs>
          <w:tab w:val="num" w:pos="720"/>
        </w:tabs>
        <w:ind w:start="720" w:hanging="720"/>
      </w:pPr>
      <w:rPr/>
    </w:lvl>
  </w:abstractNum>
  <w:abstractNum w:abstractNumId="6">
    <w:lvl w:ilvl="0">
      <w:start w:val="1"/>
      <w:numFmt w:val="lowerLetter"/>
      <w:lvlText w:val="(%1)"/>
      <w:lvlJc w:val="start"/>
      <w:pPr>
        <w:tabs>
          <w:tab w:val="num" w:pos="1875"/>
        </w:tabs>
        <w:ind w:start="1875" w:hanging="435"/>
      </w:pPr>
      <w:rPr/>
    </w:lvl>
  </w:abstractNum>
  <w:abstractNum w:abstractNumId="7">
    <w:lvl w:ilvl="0">
      <w:start w:val="2"/>
      <w:numFmt w:val="lowerRoman"/>
      <w:lvlText w:val="(%1)"/>
      <w:lvlJc w:val="start"/>
      <w:pPr>
        <w:tabs>
          <w:tab w:val="num" w:pos="1440"/>
        </w:tabs>
        <w:ind w:start="1440" w:hanging="720"/>
      </w:pPr>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tabs>
        <w:tab w:val="clear" w:pos="720"/>
        <w:tab w:val="left" w:pos="-1440" w:leader="none"/>
        <w:tab w:val="left" w:pos="1980" w:leader="none"/>
      </w:tabs>
      <w:ind w:hanging="450" w:start="1890" w:end="0"/>
      <w:jc w:val="both"/>
    </w:pPr>
    <w:rPr>
      <w:sz w:val="24"/>
      <w:lang w:val="en-GB"/>
    </w:rPr>
  </w:style>
  <w:style w:type="paragraph" w:styleId="BodyTextIndent3">
    <w:name w:val="Body Text Indent 3"/>
    <w:basedOn w:val="Normal"/>
    <w:qFormat/>
    <w:pPr>
      <w:tabs>
        <w:tab w:val="clear" w:pos="720"/>
        <w:tab w:val="left" w:pos="-1440" w:leader="none"/>
      </w:tabs>
      <w:ind w:hanging="435" w:start="1875" w:end="0"/>
      <w:jc w:val="both"/>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2000-03-03T14:48:00Z</dcterms:created>
  <dc:creator>pdelvec</dc:creator>
  <dc:description/>
  <dc:language>en-CA</dc:language>
  <cp:lastModifiedBy>mhaedic</cp:lastModifiedBy>
  <cp:lastPrinted>2000-03-01T18:33:00Z</cp:lastPrinted>
  <dcterms:modified xsi:type="dcterms:W3CDTF">2000-03-03T14:48:00Z</dcterms:modified>
  <cp:revision>2</cp:revision>
  <dc:subject/>
  <dc:title>February 7, 2000</dc:title>
</cp:coreProperties>
</file>