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sz w:val="36"/>
        </w:rPr>
      </w:pPr>
      <w:r>
        <w:rPr>
          <w:sz w:val="36"/>
        </w:rPr>
        <w:t xml:space="preserve">PRELIMINARY SCHEDULES </w:t>
      </w:r>
    </w:p>
    <w:p>
      <w:pPr>
        <w:pStyle w:val="Normal"/>
        <w:jc w:val="center"/>
        <w:rPr>
          <w:sz w:val="36"/>
        </w:rPr>
      </w:pPr>
      <w:r>
        <w:rPr>
          <w:sz w:val="36"/>
        </w:rPr>
      </w:r>
    </w:p>
    <w:p>
      <w:pPr>
        <w:pStyle w:val="Normal"/>
        <w:jc w:val="center"/>
        <w:rPr>
          <w:sz w:val="36"/>
        </w:rPr>
      </w:pPr>
      <w:r>
        <w:rPr>
          <w:sz w:val="36"/>
        </w:rPr>
        <w:t>TO</w:t>
      </w:r>
    </w:p>
    <w:p>
      <w:pPr>
        <w:pStyle w:val="Normal"/>
        <w:jc w:val="center"/>
        <w:rPr>
          <w:sz w:val="36"/>
        </w:rPr>
      </w:pPr>
      <w:r>
        <w:rPr>
          <w:sz w:val="36"/>
        </w:rPr>
      </w:r>
    </w:p>
    <w:p>
      <w:pPr>
        <w:pStyle w:val="Normal"/>
        <w:jc w:val="center"/>
        <w:rPr>
          <w:sz w:val="36"/>
        </w:rPr>
      </w:pPr>
      <w:r>
        <w:rPr>
          <w:sz w:val="36"/>
        </w:rPr>
        <w:t>PURCHASE AND SALE AGREEMENT</w:t>
      </w:r>
    </w:p>
    <w:p>
      <w:pPr>
        <w:pStyle w:val="Normal"/>
        <w:jc w:val="center"/>
        <w:rPr>
          <w:sz w:val="36"/>
        </w:rPr>
      </w:pPr>
      <w:r>
        <w:rPr>
          <w:sz w:val="36"/>
        </w:rPr>
      </w:r>
    </w:p>
    <w:p>
      <w:pPr>
        <w:pStyle w:val="Normal"/>
        <w:jc w:val="center"/>
        <w:rPr>
          <w:sz w:val="36"/>
        </w:rPr>
      </w:pPr>
      <w:r>
        <w:rPr>
          <w:sz w:val="36"/>
        </w:rPr>
        <w:t>SUBJECT TO FURTHER REVISION</w:t>
      </w:r>
    </w:p>
    <w:p>
      <w:pPr>
        <w:pStyle w:val="Normal"/>
        <w:jc w:val="center"/>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1.1(a)</w:t>
      </w:r>
    </w:p>
    <w:p>
      <w:pPr>
        <w:pStyle w:val="Normal"/>
        <w:jc w:val="center"/>
        <w:rPr/>
      </w:pPr>
      <w:r>
        <w:rPr/>
        <w:t>Company Subsidiaries</w:t>
      </w:r>
    </w:p>
    <w:p>
      <w:pPr>
        <w:pStyle w:val="Normal"/>
        <w:jc w:val="center"/>
        <w:rPr/>
      </w:pPr>
      <w:r>
        <w:rPr/>
      </w:r>
    </w:p>
    <w:p>
      <w:pPr>
        <w:pStyle w:val="Normal"/>
        <w:jc w:val="center"/>
        <w:rPr/>
      </w:pPr>
      <w:r>
        <w:rPr/>
      </w:r>
    </w:p>
    <w:p>
      <w:pPr>
        <w:pStyle w:val="Normal"/>
        <w:rPr/>
      </w:pPr>
      <w:r>
        <w:rPr/>
        <w:t>The following is a list of the subsidiaries of Houston Pipe Line Company that will remain as of the Closing Date:</w:t>
      </w:r>
    </w:p>
    <w:p>
      <w:pPr>
        <w:pStyle w:val="Normal"/>
        <w:rPr/>
      </w:pPr>
      <w:r>
        <w:rPr/>
      </w:r>
    </w:p>
    <w:p>
      <w:pPr>
        <w:pStyle w:val="Normal"/>
        <w:rPr/>
      </w:pPr>
      <w:r>
        <w:rPr/>
        <w:t>HPL Resources Company</w:t>
      </w:r>
    </w:p>
    <w:p>
      <w:pPr>
        <w:pStyle w:val="Normal"/>
        <w:rPr/>
      </w:pPr>
      <w:r>
        <w:rPr/>
        <w:t>Mid Texas Pipeline Company</w:t>
      </w:r>
    </w:p>
    <w:p>
      <w:pPr>
        <w:pStyle w:val="Normal"/>
        <w:rPr/>
      </w:pPr>
      <w:r>
        <w:rPr/>
      </w:r>
    </w:p>
    <w:p>
      <w:pPr>
        <w:pStyle w:val="Normal"/>
        <w:rPr/>
      </w:pPr>
      <w:r>
        <w:rPr/>
        <w:t>NEWCO LLC will have no subsidiaries.</w:t>
      </w:r>
      <w:r>
        <w:br w:type="page"/>
      </w:r>
    </w:p>
    <w:p>
      <w:pPr>
        <w:pStyle w:val="Normal"/>
        <w:jc w:val="center"/>
        <w:rPr/>
      </w:pPr>
      <w:r>
        <w:rPr/>
        <w:t>PURCHASE AND SALE AGREEMENT</w:t>
      </w:r>
    </w:p>
    <w:p>
      <w:pPr>
        <w:pStyle w:val="Normal"/>
        <w:jc w:val="center"/>
        <w:rPr/>
      </w:pPr>
      <w:r>
        <w:rPr/>
      </w:r>
    </w:p>
    <w:p>
      <w:pPr>
        <w:pStyle w:val="Normal"/>
        <w:jc w:val="center"/>
        <w:rPr/>
      </w:pPr>
      <w:r>
        <w:rPr/>
        <w:t>Schedule 1.1(b)</w:t>
      </w:r>
    </w:p>
    <w:p>
      <w:pPr>
        <w:pStyle w:val="Normal"/>
        <w:jc w:val="center"/>
        <w:rPr/>
      </w:pPr>
      <w:r>
        <w:rPr/>
        <w:t>Seller's Knowledge</w:t>
      </w:r>
    </w:p>
    <w:p>
      <w:pPr>
        <w:pStyle w:val="Normal"/>
        <w:jc w:val="center"/>
        <w:rPr/>
      </w:pPr>
      <w:r>
        <w:rPr/>
      </w:r>
    </w:p>
    <w:p>
      <w:pPr>
        <w:pStyle w:val="Normal"/>
        <w:jc w:val="center"/>
        <w:rPr/>
      </w:pPr>
      <w:r>
        <w:rPr/>
        <w:t>[TO COME]</w:t>
      </w:r>
    </w:p>
    <w:p>
      <w:pPr>
        <w:pStyle w:val="Normal"/>
        <w:jc w:val="center"/>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2.4(e)</w:t>
      </w:r>
    </w:p>
    <w:p>
      <w:pPr>
        <w:pStyle w:val="Normal"/>
        <w:jc w:val="center"/>
        <w:rPr/>
      </w:pPr>
      <w:r>
        <w:rPr/>
        <w:t>Calculation of Working Capital</w:t>
      </w:r>
    </w:p>
    <w:p>
      <w:pPr>
        <w:pStyle w:val="Normal"/>
        <w:jc w:val="center"/>
        <w:rPr/>
      </w:pPr>
      <w:r>
        <w:rPr/>
      </w:r>
    </w:p>
    <w:p>
      <w:pPr>
        <w:pStyle w:val="Normal"/>
        <w:jc w:val="center"/>
        <w:rPr/>
      </w:pPr>
      <w:r>
        <w:rPr/>
      </w:r>
    </w:p>
    <w:p>
      <w:pPr>
        <w:pStyle w:val="Normal"/>
        <w:ind w:firstLine="720" w:end="0"/>
        <w:jc w:val="both"/>
        <w:rPr/>
      </w:pPr>
      <w:r>
        <w:rPr/>
        <w:t xml:space="preserve">The calculation of Working Capital for purposes of the Effective Date Balance Sheet shall be determined using the same procedures and categories of assets and liabilities as used in the preparation of the Balance Sheet dated July 31, 2000 which is attached as Schedule 4.5 to the Agreement.  </w:t>
      </w:r>
    </w:p>
    <w:p>
      <w:pPr>
        <w:pStyle w:val="Normal"/>
        <w:jc w:val="both"/>
        <w:rPr/>
      </w:pPr>
      <w:r>
        <w:rPr/>
      </w:r>
    </w:p>
    <w:p>
      <w:pPr>
        <w:pStyle w:val="Normal"/>
        <w:ind w:firstLine="720" w:end="0"/>
        <w:jc w:val="both"/>
        <w:rPr/>
      </w:pPr>
      <w:r>
        <w:rPr/>
        <w:t>Working Capital shall, for such purposes, be comprised of Current Assets (excluding Inventory) less Current Liabilities of the Acquired Companies (on a consolidated and combined basis).  Current Assets will include:  prepayments and deferred unaccounted for gas.  There will be no Current Liabilities.  All Current Liabilities will be Retained Liabilities.</w:t>
      </w:r>
    </w:p>
    <w:p>
      <w:pPr>
        <w:pStyle w:val="Normal"/>
        <w:ind w:firstLine="720" w:end="0"/>
        <w:jc w:val="both"/>
        <w:rPr/>
      </w:pPr>
      <w:r>
        <w:rPr/>
      </w:r>
    </w:p>
    <w:p>
      <w:pPr>
        <w:pStyle w:val="Normal"/>
        <w:ind w:firstLine="720" w:end="0"/>
        <w:jc w:val="both"/>
        <w:rPr/>
      </w:pPr>
      <w:r>
        <w:rPr/>
        <w:t>Reserves shall be included only to the extent that such reserves were included in the July 31, 2000 Balance Sheet.</w:t>
      </w:r>
    </w:p>
    <w:p>
      <w:pPr>
        <w:pStyle w:val="Normal"/>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2.5(a)</w:t>
      </w:r>
    </w:p>
    <w:p>
      <w:pPr>
        <w:pStyle w:val="Normal"/>
        <w:jc w:val="center"/>
        <w:rPr/>
      </w:pPr>
      <w:r>
        <w:rPr/>
        <w:t>Inventory Calculation</w:t>
      </w:r>
    </w:p>
    <w:p>
      <w:pPr>
        <w:pStyle w:val="Normal"/>
        <w:jc w:val="center"/>
        <w:rPr/>
      </w:pPr>
      <w:r>
        <w:rPr/>
      </w:r>
    </w:p>
    <w:p>
      <w:pPr>
        <w:pStyle w:val="Normal"/>
        <w:jc w:val="center"/>
        <w:rPr/>
      </w:pPr>
      <w:r>
        <w:rPr/>
      </w:r>
    </w:p>
    <w:p>
      <w:pPr>
        <w:pStyle w:val="Normal"/>
        <w:rPr/>
      </w:pPr>
      <w:r>
        <w:rPr/>
        <w:tab/>
        <w:t>The quantity of Inventory at the Effective Date shall be determined from the books and records of the Acquired Companies or pursuant to any other method of physical accounting as may be mutually agreed upon by the Parties.</w:t>
      </w:r>
    </w:p>
    <w:p>
      <w:pPr>
        <w:pStyle w:val="Normal"/>
        <w:rPr/>
      </w:pPr>
      <w:r>
        <w:rPr/>
      </w:r>
    </w:p>
    <w:p>
      <w:pPr>
        <w:pStyle w:val="Normal"/>
        <w:rPr/>
      </w:pPr>
      <w:r>
        <w:rPr/>
        <w:tab/>
        <w:t>The applicable pricing for valuation of the Inventory shall be as follows:</w:t>
      </w:r>
    </w:p>
    <w:p>
      <w:pPr>
        <w:pStyle w:val="Normal"/>
        <w:rPr/>
      </w:pPr>
      <w:r>
        <w:rPr/>
      </w:r>
    </w:p>
    <w:tbl>
      <w:tblPr>
        <w:tblW w:w="8460" w:type="dxa"/>
        <w:jc w:val="start"/>
        <w:tblInd w:w="828" w:type="dxa"/>
        <w:tblLayout w:type="fixed"/>
        <w:tblCellMar>
          <w:top w:w="0" w:type="dxa"/>
          <w:start w:w="108" w:type="dxa"/>
          <w:bottom w:w="0" w:type="dxa"/>
          <w:end w:w="108" w:type="dxa"/>
        </w:tblCellMar>
      </w:tblPr>
      <w:tblGrid>
        <w:gridCol w:w="3240"/>
        <w:gridCol w:w="5220"/>
      </w:tblGrid>
      <w:tr>
        <w:trPr/>
        <w:tc>
          <w:tcPr>
            <w:tcW w:w="3240" w:type="dxa"/>
            <w:tcBorders/>
          </w:tcPr>
          <w:p>
            <w:pPr>
              <w:pStyle w:val="Normal"/>
              <w:jc w:val="center"/>
              <w:rPr>
                <w:b/>
              </w:rPr>
            </w:pPr>
            <w:r>
              <w:rPr>
                <w:b/>
              </w:rPr>
              <w:t>Type of Inventory</w:t>
            </w:r>
          </w:p>
        </w:tc>
        <w:tc>
          <w:tcPr>
            <w:tcW w:w="5220" w:type="dxa"/>
            <w:tcBorders/>
          </w:tcPr>
          <w:p>
            <w:pPr>
              <w:pStyle w:val="Normal"/>
              <w:jc w:val="center"/>
              <w:rPr>
                <w:b/>
              </w:rPr>
            </w:pPr>
            <w:r>
              <w:rPr>
                <w:b/>
              </w:rPr>
              <w:t>Pricing</w:t>
            </w:r>
          </w:p>
        </w:tc>
      </w:tr>
      <w:tr>
        <w:trPr/>
        <w:tc>
          <w:tcPr>
            <w:tcW w:w="3240" w:type="dxa"/>
            <w:tcBorders/>
          </w:tcPr>
          <w:p>
            <w:pPr>
              <w:pStyle w:val="Normal"/>
              <w:snapToGrid w:val="false"/>
              <w:jc w:val="center"/>
              <w:rPr>
                <w:b/>
              </w:rPr>
            </w:pPr>
            <w:r>
              <w:rPr>
                <w:b/>
              </w:rPr>
            </w:r>
          </w:p>
        </w:tc>
        <w:tc>
          <w:tcPr>
            <w:tcW w:w="5220" w:type="dxa"/>
            <w:tcBorders/>
          </w:tcPr>
          <w:p>
            <w:pPr>
              <w:pStyle w:val="Normal"/>
              <w:snapToGrid w:val="false"/>
              <w:jc w:val="center"/>
              <w:rPr>
                <w:b/>
              </w:rPr>
            </w:pPr>
            <w:r>
              <w:rPr>
                <w:b/>
              </w:rPr>
            </w:r>
          </w:p>
        </w:tc>
      </w:tr>
      <w:tr>
        <w:trPr/>
        <w:tc>
          <w:tcPr>
            <w:tcW w:w="3240" w:type="dxa"/>
            <w:tcBorders/>
          </w:tcPr>
          <w:p>
            <w:pPr>
              <w:pStyle w:val="Normal"/>
              <w:rPr/>
            </w:pPr>
            <w:r>
              <w:rPr/>
              <w:t>Line pack and working gas</w:t>
            </w:r>
          </w:p>
        </w:tc>
        <w:tc>
          <w:tcPr>
            <w:tcW w:w="5220" w:type="dxa"/>
            <w:tcBorders/>
          </w:tcPr>
          <w:p>
            <w:pPr>
              <w:pStyle w:val="Normal"/>
              <w:rPr/>
            </w:pPr>
            <w:r>
              <w:rPr/>
              <w:t xml:space="preserve">The Published Price in </w:t>
            </w:r>
            <w:r>
              <w:rPr>
                <w:i/>
              </w:rPr>
              <w:t>Inside FERC</w:t>
            </w:r>
            <w:r>
              <w:rPr/>
              <w:t xml:space="preserve"> (Houston Ship Channel) for the month immediately following the Effective Date.</w:t>
            </w:r>
          </w:p>
          <w:p>
            <w:pPr>
              <w:pStyle w:val="Normal"/>
              <w:rPr/>
            </w:pPr>
            <w:r>
              <w:rPr/>
            </w:r>
          </w:p>
        </w:tc>
      </w:tr>
      <w:tr>
        <w:trPr/>
        <w:tc>
          <w:tcPr>
            <w:tcW w:w="3240" w:type="dxa"/>
            <w:tcBorders/>
          </w:tcPr>
          <w:p>
            <w:pPr>
              <w:pStyle w:val="Normal"/>
              <w:rPr/>
            </w:pPr>
            <w:r>
              <w:rPr/>
              <w:t>Liquids Inventory</w:t>
            </w:r>
          </w:p>
        </w:tc>
        <w:tc>
          <w:tcPr>
            <w:tcW w:w="5220" w:type="dxa"/>
            <w:tcBorders/>
          </w:tcPr>
          <w:p>
            <w:pPr>
              <w:pStyle w:val="Normal"/>
              <w:rPr/>
            </w:pPr>
            <w:r>
              <w:rPr/>
              <w:t>At the Acquired Companies’ cost as reflected on the books and records of the Acquired Companies.</w:t>
            </w:r>
          </w:p>
          <w:p>
            <w:pPr>
              <w:pStyle w:val="Normal"/>
              <w:rPr/>
            </w:pPr>
            <w:r>
              <w:rPr/>
            </w:r>
          </w:p>
        </w:tc>
      </w:tr>
      <w:tr>
        <w:trPr/>
        <w:tc>
          <w:tcPr>
            <w:tcW w:w="3240" w:type="dxa"/>
            <w:tcBorders/>
          </w:tcPr>
          <w:p>
            <w:pPr>
              <w:pStyle w:val="Normal"/>
              <w:rPr/>
            </w:pPr>
            <w:r>
              <w:rPr/>
              <w:t>Materials and Supplies</w:t>
            </w:r>
          </w:p>
        </w:tc>
        <w:tc>
          <w:tcPr>
            <w:tcW w:w="5220" w:type="dxa"/>
            <w:tcBorders/>
          </w:tcPr>
          <w:p>
            <w:pPr>
              <w:pStyle w:val="Normal"/>
              <w:rPr/>
            </w:pPr>
            <w:r>
              <w:rPr/>
              <w:t>At the Acquired Companies’ cost as reflected on the books and records of the Acquired Companies.</w:t>
            </w:r>
          </w:p>
        </w:tc>
      </w:tr>
    </w:tbl>
    <w:p>
      <w:pPr>
        <w:pStyle w:val="Normal"/>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2.6</w:t>
      </w:r>
    </w:p>
    <w:p>
      <w:pPr>
        <w:pStyle w:val="Normal"/>
        <w:jc w:val="center"/>
        <w:rPr/>
      </w:pPr>
      <w:r>
        <w:rPr/>
        <w:t>Purchase Price Allocation</w:t>
      </w:r>
    </w:p>
    <w:p>
      <w:pPr>
        <w:pStyle w:val="Normal"/>
        <w:jc w:val="center"/>
        <w:rPr/>
      </w:pPr>
      <w:r>
        <w:rPr/>
      </w:r>
    </w:p>
    <w:p>
      <w:pPr>
        <w:pStyle w:val="Normal"/>
        <w:jc w:val="center"/>
        <w:rPr/>
      </w:pPr>
      <w:r>
        <w:rPr/>
      </w:r>
    </w:p>
    <w:p>
      <w:pPr>
        <w:pStyle w:val="Normal"/>
        <w:jc w:val="center"/>
        <w:rPr/>
      </w:pPr>
      <w:r>
        <w:rPr/>
        <w:t>[TO COME]</w:t>
      </w:r>
      <w:r>
        <w:br w:type="page"/>
      </w:r>
    </w:p>
    <w:p>
      <w:pPr>
        <w:pStyle w:val="Normal"/>
        <w:jc w:val="center"/>
        <w:rPr/>
      </w:pPr>
      <w:r>
        <w:rPr/>
        <w:t>PURCHASE AND SALE AGREEMENT</w:t>
      </w:r>
    </w:p>
    <w:p>
      <w:pPr>
        <w:pStyle w:val="Normal"/>
        <w:jc w:val="center"/>
        <w:rPr/>
      </w:pPr>
      <w:r>
        <w:rPr/>
      </w:r>
    </w:p>
    <w:p>
      <w:pPr>
        <w:pStyle w:val="Normal"/>
        <w:jc w:val="center"/>
        <w:rPr/>
      </w:pPr>
      <w:r>
        <w:rPr/>
        <w:t>Schedule 4.2(a)</w:t>
      </w:r>
    </w:p>
    <w:p>
      <w:pPr>
        <w:pStyle w:val="Normal"/>
        <w:jc w:val="center"/>
        <w:rPr/>
      </w:pPr>
      <w:r>
        <w:rPr/>
        <w:t>List of Acquired Companies</w:t>
      </w:r>
    </w:p>
    <w:p>
      <w:pPr>
        <w:pStyle w:val="Normal"/>
        <w:jc w:val="center"/>
        <w:rPr/>
      </w:pPr>
      <w:r>
        <w:rPr/>
      </w:r>
    </w:p>
    <w:p>
      <w:pPr>
        <w:pStyle w:val="Normal"/>
        <w:jc w:val="center"/>
        <w:rPr/>
      </w:pPr>
      <w:r>
        <w:rPr/>
      </w:r>
    </w:p>
    <w:p>
      <w:pPr>
        <w:pStyle w:val="Header"/>
        <w:tabs>
          <w:tab w:val="clear" w:pos="4680"/>
          <w:tab w:val="left" w:pos="720" w:leader="none"/>
          <w:tab w:val="right" w:pos="9360" w:leader="none"/>
        </w:tabs>
        <w:rPr/>
      </w:pPr>
      <w:r>
        <w:rPr/>
        <w:t>(a)</w:t>
        <w:tab/>
        <w:t>See Part 1 of Schedule 7.8 for a list of Houston Pipe Line Company subsidiaries and other entities that Houston Pipe Line Company owns interests in that are Excluded Assets.</w:t>
      </w:r>
    </w:p>
    <w:p>
      <w:pPr>
        <w:pStyle w:val="Header"/>
        <w:rPr/>
      </w:pPr>
      <w:r>
        <w:rPr/>
      </w:r>
    </w:p>
    <w:p>
      <w:pPr>
        <w:pStyle w:val="Normal"/>
        <w:rPr/>
      </w:pPr>
      <w:r>
        <w:rPr/>
        <w:t>(a)(i)</w:t>
        <w:tab/>
        <w:t>The following is a list of the Acquired Companies:</w:t>
      </w:r>
    </w:p>
    <w:p>
      <w:pPr>
        <w:pStyle w:val="Normal"/>
        <w:rPr/>
      </w:pPr>
      <w:r>
        <w:rPr/>
      </w:r>
    </w:p>
    <w:p>
      <w:pPr>
        <w:pStyle w:val="Normal"/>
        <w:ind w:firstLine="720" w:end="0"/>
        <w:rPr/>
      </w:pPr>
      <w:r>
        <w:rPr/>
        <w:t>Houston Pipe Line Company,</w:t>
      </w:r>
    </w:p>
    <w:p>
      <w:pPr>
        <w:pStyle w:val="Normal"/>
        <w:ind w:firstLine="720" w:end="0"/>
        <w:rPr/>
      </w:pPr>
      <w:r>
        <w:rPr/>
        <w:t xml:space="preserve">a Delaware corporation, </w:t>
      </w:r>
    </w:p>
    <w:p>
      <w:pPr>
        <w:pStyle w:val="Normal"/>
        <w:rPr/>
      </w:pPr>
      <w:r>
        <w:rPr/>
        <w:tab/>
        <w:t>10,000 shares authorized;</w:t>
      </w:r>
    </w:p>
    <w:p>
      <w:pPr>
        <w:pStyle w:val="Normal"/>
        <w:rPr/>
      </w:pPr>
      <w:r>
        <w:rPr/>
        <w:tab/>
        <w:t>799 shares issued to Enron Corp.</w:t>
      </w:r>
    </w:p>
    <w:p>
      <w:pPr>
        <w:pStyle w:val="Normal"/>
        <w:rPr/>
      </w:pPr>
      <w:r>
        <w:rPr/>
        <w:tab/>
      </w:r>
    </w:p>
    <w:p>
      <w:pPr>
        <w:pStyle w:val="Normal"/>
        <w:ind w:start="720" w:end="0"/>
        <w:rPr/>
      </w:pPr>
      <w:r>
        <w:rPr/>
        <w:t>HPL Resources Company,</w:t>
      </w:r>
    </w:p>
    <w:p>
      <w:pPr>
        <w:pStyle w:val="Normal"/>
        <w:ind w:start="720" w:end="0"/>
        <w:rPr/>
      </w:pPr>
      <w:r>
        <w:rPr/>
        <w:t xml:space="preserve">a Delaware corporation, </w:t>
      </w:r>
    </w:p>
    <w:p>
      <w:pPr>
        <w:pStyle w:val="Normal"/>
        <w:ind w:start="720" w:end="0"/>
        <w:rPr/>
      </w:pPr>
      <w:r>
        <w:rPr/>
        <w:t>10,000 shares authorized; 1,000 shares issued to Houston Pipe Line Company</w:t>
      </w:r>
    </w:p>
    <w:p>
      <w:pPr>
        <w:pStyle w:val="Normal"/>
        <w:rPr/>
      </w:pPr>
      <w:r>
        <w:rPr/>
        <w:tab/>
      </w:r>
    </w:p>
    <w:p>
      <w:pPr>
        <w:pStyle w:val="Normal"/>
        <w:ind w:firstLine="720" w:end="0"/>
        <w:rPr/>
      </w:pPr>
      <w:r>
        <w:rPr/>
        <w:t>Mid-Texas Pipeline Company,</w:t>
      </w:r>
    </w:p>
    <w:p>
      <w:pPr>
        <w:pStyle w:val="Normal"/>
        <w:rPr/>
      </w:pPr>
      <w:r>
        <w:rPr/>
        <w:tab/>
        <w:t>a general partnership,</w:t>
      </w:r>
    </w:p>
    <w:p>
      <w:pPr>
        <w:pStyle w:val="Normal"/>
        <w:rPr/>
      </w:pPr>
      <w:r>
        <w:rPr/>
        <w:tab/>
        <w:t>50% owned by Houston Pipe Line Company, as a general partner</w:t>
      </w:r>
    </w:p>
    <w:p>
      <w:pPr>
        <w:pStyle w:val="Normal"/>
        <w:rPr/>
      </w:pPr>
      <w:r>
        <w:rPr/>
        <w:tab/>
        <w:t>50% owned by Teco Pipeline Company, as the managing partner</w:t>
      </w:r>
    </w:p>
    <w:p>
      <w:pPr>
        <w:pStyle w:val="Normal"/>
        <w:rPr/>
      </w:pPr>
      <w:r>
        <w:rPr/>
      </w:r>
    </w:p>
    <w:p>
      <w:pPr>
        <w:pStyle w:val="Normal"/>
        <w:ind w:firstLine="720" w:end="0"/>
        <w:rPr/>
      </w:pPr>
      <w:r>
        <w:rPr/>
        <w:t>NEWCO LLC,</w:t>
      </w:r>
    </w:p>
    <w:p>
      <w:pPr>
        <w:pStyle w:val="Normal"/>
        <w:ind w:firstLine="720" w:end="0"/>
        <w:rPr/>
      </w:pPr>
      <w:r>
        <w:rPr/>
        <w:t>a Delaware limited liability company,</w:t>
      </w:r>
    </w:p>
    <w:p>
      <w:pPr>
        <w:pStyle w:val="Normal"/>
        <w:ind w:firstLine="720" w:end="0"/>
        <w:rPr/>
      </w:pPr>
      <w:r>
        <w:rPr/>
        <w:t>Sole Member is Enron Corp.</w:t>
      </w:r>
    </w:p>
    <w:p>
      <w:pPr>
        <w:pStyle w:val="Normal"/>
        <w:rPr/>
      </w:pPr>
      <w:r>
        <w:rPr/>
      </w:r>
    </w:p>
    <w:p>
      <w:pPr>
        <w:pStyle w:val="Normal"/>
        <w:rPr/>
      </w:pPr>
      <w:r>
        <w:rPr/>
        <w:t xml:space="preserve">(a)(ii) </w:t>
        <w:tab/>
        <w:t>None</w:t>
      </w:r>
    </w:p>
    <w:p>
      <w:pPr>
        <w:pStyle w:val="Normal"/>
        <w:rPr/>
      </w:pPr>
      <w:r>
        <w:rPr/>
      </w:r>
    </w:p>
    <w:p>
      <w:pPr>
        <w:pStyle w:val="Normal"/>
        <w:jc w:val="center"/>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4.2(b)</w:t>
      </w:r>
    </w:p>
    <w:p>
      <w:pPr>
        <w:pStyle w:val="Normal"/>
        <w:jc w:val="center"/>
        <w:rPr/>
      </w:pPr>
      <w:r>
        <w:rPr/>
        <w:t>Qualification</w:t>
      </w:r>
    </w:p>
    <w:p>
      <w:pPr>
        <w:pStyle w:val="Normal"/>
        <w:jc w:val="center"/>
        <w:rPr/>
      </w:pPr>
      <w:r>
        <w:rPr/>
      </w:r>
    </w:p>
    <w:p>
      <w:pPr>
        <w:pStyle w:val="Normal"/>
        <w:jc w:val="center"/>
        <w:rPr/>
      </w:pPr>
      <w:r>
        <w:rPr/>
      </w:r>
    </w:p>
    <w:p>
      <w:pPr>
        <w:pStyle w:val="Normal"/>
        <w:rPr/>
      </w:pPr>
      <w:r>
        <w:rPr/>
        <w:t>Houston Pipe Line Company – Texas and West Virginia</w:t>
      </w:r>
    </w:p>
    <w:p>
      <w:pPr>
        <w:pStyle w:val="Normal"/>
        <w:rPr/>
      </w:pPr>
      <w:r>
        <w:rPr/>
      </w:r>
    </w:p>
    <w:p>
      <w:pPr>
        <w:pStyle w:val="Normal"/>
        <w:rPr/>
      </w:pPr>
      <w:r>
        <w:rPr/>
        <w:t>HPL Resources Company – Texas</w:t>
      </w:r>
    </w:p>
    <w:p>
      <w:pPr>
        <w:pStyle w:val="Normal"/>
        <w:rPr/>
      </w:pPr>
      <w:r>
        <w:rPr/>
      </w:r>
    </w:p>
    <w:p>
      <w:pPr>
        <w:pStyle w:val="Normal"/>
        <w:rPr/>
      </w:pPr>
      <w:r>
        <w:rPr/>
        <w:t>Mid-Texas Pipeline Company – N/A</w:t>
      </w:r>
    </w:p>
    <w:p>
      <w:pPr>
        <w:pStyle w:val="Normal"/>
        <w:rPr/>
      </w:pPr>
      <w:r>
        <w:rPr/>
      </w:r>
    </w:p>
    <w:p>
      <w:pPr>
        <w:pStyle w:val="Normal"/>
        <w:rPr/>
      </w:pPr>
      <w:r>
        <w:rPr/>
        <w:t>NEWCO LLC – Texas</w:t>
      </w:r>
    </w:p>
    <w:p>
      <w:pPr>
        <w:pStyle w:val="Normal"/>
        <w:jc w:val="center"/>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4.5</w:t>
      </w:r>
    </w:p>
    <w:p>
      <w:pPr>
        <w:pStyle w:val="Normal"/>
        <w:jc w:val="center"/>
        <w:rPr/>
      </w:pPr>
      <w:r>
        <w:rPr/>
        <w:t>No Conflict</w:t>
      </w:r>
    </w:p>
    <w:p>
      <w:pPr>
        <w:pStyle w:val="Normal"/>
        <w:jc w:val="center"/>
        <w:rPr/>
      </w:pPr>
      <w:r>
        <w:rPr/>
      </w:r>
    </w:p>
    <w:p>
      <w:pPr>
        <w:pStyle w:val="Normal"/>
        <w:jc w:val="center"/>
        <w:rPr/>
      </w:pPr>
      <w:r>
        <w:rPr/>
      </w:r>
    </w:p>
    <w:p>
      <w:pPr>
        <w:pStyle w:val="Normal"/>
        <w:rPr/>
      </w:pPr>
      <w:r>
        <w:rPr/>
        <w:t>None.</w:t>
      </w:r>
      <w:r>
        <w:br w:type="page"/>
      </w:r>
    </w:p>
    <w:p>
      <w:pPr>
        <w:pStyle w:val="Normal"/>
        <w:jc w:val="center"/>
        <w:rPr/>
      </w:pPr>
      <w:r>
        <w:rPr/>
        <w:t>PURCHASE AND SALE AGREEMENT</w:t>
      </w:r>
    </w:p>
    <w:p>
      <w:pPr>
        <w:pStyle w:val="Normal"/>
        <w:jc w:val="center"/>
        <w:rPr/>
      </w:pPr>
      <w:r>
        <w:rPr/>
      </w:r>
    </w:p>
    <w:p>
      <w:pPr>
        <w:pStyle w:val="Normal"/>
        <w:jc w:val="center"/>
        <w:rPr/>
      </w:pPr>
      <w:r>
        <w:rPr/>
        <w:t>Schedule 4.6</w:t>
      </w:r>
    </w:p>
    <w:p>
      <w:pPr>
        <w:pStyle w:val="Normal"/>
        <w:jc w:val="center"/>
        <w:rPr/>
      </w:pPr>
      <w:r>
        <w:rPr/>
        <w:t>Consents and Approvals - Seller</w:t>
      </w:r>
    </w:p>
    <w:p>
      <w:pPr>
        <w:pStyle w:val="Normal"/>
        <w:jc w:val="center"/>
        <w:rPr/>
      </w:pPr>
      <w:r>
        <w:rPr/>
      </w:r>
    </w:p>
    <w:p>
      <w:pPr>
        <w:pStyle w:val="Normal"/>
        <w:jc w:val="center"/>
        <w:rPr/>
      </w:pPr>
      <w:r>
        <w:rPr/>
      </w:r>
    </w:p>
    <w:p>
      <w:pPr>
        <w:pStyle w:val="Normal"/>
        <w:rPr/>
      </w:pPr>
      <w:r>
        <w:rPr/>
        <w:t>[List of consents, approvals, waivers or notices required for the unwind of certain monetizations – TO COME]</w:t>
      </w:r>
    </w:p>
    <w:p>
      <w:pPr>
        <w:pStyle w:val="Normal"/>
        <w:rPr/>
      </w:pPr>
      <w:r>
        <w:rPr/>
      </w:r>
    </w:p>
    <w:p>
      <w:pPr>
        <w:pStyle w:val="Normal"/>
        <w:rPr/>
      </w:pPr>
      <w:r>
        <w:rPr/>
        <w:t>Channel Industries Gas Company – A/S Pipeline Ownership Agreement grants right of first refusal to purchase Houston Pipe Line Company’s interest in the A/S Pipeline upon the same terms and conditions offered by a third party</w:t>
      </w:r>
    </w:p>
    <w:p>
      <w:pPr>
        <w:pStyle w:val="Normal"/>
        <w:rPr/>
      </w:pPr>
      <w:r>
        <w:rPr/>
      </w:r>
    </w:p>
    <w:p>
      <w:pPr>
        <w:pStyle w:val="Normal"/>
        <w:rPr/>
      </w:pPr>
      <w:r>
        <w:rPr/>
        <w:t>Exxon Company, U.S. and Humble Gas Pipeline Company – Project Agreement grants a limited right to bid for the purchase of those facilities related to the Project Agreement (the pipeline interconnecting with the Exxon King Ranch processing plant).</w:t>
      </w:r>
    </w:p>
    <w:p>
      <w:pPr>
        <w:pStyle w:val="Header"/>
        <w:tabs>
          <w:tab w:val="clear" w:pos="4680"/>
          <w:tab w:val="clear" w:pos="9360"/>
        </w:tabs>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4.7(a)</w:t>
      </w:r>
    </w:p>
    <w:p>
      <w:pPr>
        <w:pStyle w:val="Normal"/>
        <w:jc w:val="center"/>
        <w:rPr/>
      </w:pPr>
      <w:r>
        <w:rPr/>
        <w:t>Balance Sheet</w:t>
      </w:r>
    </w:p>
    <w:p>
      <w:pPr>
        <w:pStyle w:val="Normal"/>
        <w:jc w:val="center"/>
        <w:rPr/>
      </w:pPr>
      <w:r>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tabs>
          <w:tab w:val="clear" w:pos="720"/>
          <w:tab w:val="left" w:pos="1080" w:leader="none"/>
        </w:tabs>
        <w:ind w:start="360" w:end="0"/>
        <w:rPr/>
      </w:pPr>
      <w:r>
        <w:rPr/>
        <w:t>See Pro Forma Balance Sheet of the Company as of July 31, 2000 attached hereto.</w:t>
      </w:r>
    </w:p>
    <w:p>
      <w:pPr>
        <w:pStyle w:val="Normal"/>
        <w:tabs>
          <w:tab w:val="clear" w:pos="720"/>
          <w:tab w:val="left" w:pos="1080" w:leader="none"/>
        </w:tabs>
        <w:ind w:start="360" w:end="0"/>
        <w:rPr>
          <w:sz w:val="20"/>
        </w:rPr>
      </w:pPr>
      <w:r>
        <w:rPr>
          <w:sz w:val="20"/>
        </w:rPr>
      </w:r>
    </w:p>
    <w:tbl>
      <w:tblPr>
        <w:tblW w:w="8563" w:type="dxa"/>
        <w:jc w:val="start"/>
        <w:tblInd w:w="0" w:type="dxa"/>
        <w:tblLayout w:type="fixed"/>
        <w:tblCellMar>
          <w:top w:w="0" w:type="dxa"/>
          <w:start w:w="30" w:type="dxa"/>
          <w:bottom w:w="0" w:type="dxa"/>
          <w:end w:w="30" w:type="dxa"/>
        </w:tblCellMar>
      </w:tblPr>
      <w:tblGrid>
        <w:gridCol w:w="348"/>
        <w:gridCol w:w="362"/>
        <w:gridCol w:w="130"/>
        <w:gridCol w:w="5974"/>
        <w:gridCol w:w="1749"/>
      </w:tblGrid>
      <w:tr>
        <w:trPr>
          <w:trHeight w:val="305" w:hRule="atLeast"/>
        </w:trPr>
        <w:tc>
          <w:tcPr>
            <w:tcW w:w="6814" w:type="dxa"/>
            <w:gridSpan w:val="4"/>
            <w:tcBorders>
              <w:top w:val="single" w:sz="2" w:space="0" w:color="000000"/>
              <w:start w:val="single" w:sz="2" w:space="0" w:color="000000"/>
              <w:bottom w:val="single" w:sz="2" w:space="0" w:color="000000"/>
            </w:tcBorders>
          </w:tcPr>
          <w:p>
            <w:pPr>
              <w:pStyle w:val="Normal"/>
              <w:autoSpaceDE w:val="false"/>
              <w:jc w:val="center"/>
              <w:rPr>
                <w:rFonts w:ascii="Arial" w:hAnsi="Arial" w:cs="Arial"/>
                <w:b/>
                <w:color w:val="000000"/>
                <w:sz w:val="20"/>
              </w:rPr>
            </w:pPr>
            <w:r>
              <w:rPr>
                <w:rFonts w:cs="Arial" w:ascii="Arial" w:hAnsi="Arial"/>
                <w:b/>
                <w:color w:val="000000"/>
                <w:sz w:val="20"/>
              </w:rPr>
              <w:t>Houston Pipe Line Company</w:t>
            </w:r>
          </w:p>
        </w:tc>
        <w:tc>
          <w:tcPr>
            <w:tcW w:w="1749" w:type="dxa"/>
            <w:tcBorders>
              <w:top w:val="single" w:sz="2" w:space="0" w:color="000000"/>
              <w:bottom w:val="single" w:sz="2" w:space="0" w:color="000000"/>
              <w:end w:val="single" w:sz="2" w:space="0" w:color="000000"/>
            </w:tcBorders>
          </w:tcPr>
          <w:p>
            <w:pPr>
              <w:pStyle w:val="Normal"/>
              <w:autoSpaceDE w:val="false"/>
              <w:snapToGrid w:val="false"/>
              <w:jc w:val="center"/>
              <w:rPr>
                <w:rFonts w:ascii="Arial" w:hAnsi="Arial" w:cs="Arial"/>
                <w:b/>
                <w:color w:val="000000"/>
                <w:sz w:val="20"/>
              </w:rPr>
            </w:pPr>
            <w:r>
              <w:rPr>
                <w:rFonts w:cs="Arial" w:ascii="Arial" w:hAnsi="Arial"/>
                <w:b/>
                <w:color w:val="000000"/>
                <w:sz w:val="20"/>
              </w:rPr>
            </w:r>
          </w:p>
        </w:tc>
      </w:tr>
      <w:tr>
        <w:trPr>
          <w:trHeight w:val="305" w:hRule="atLeast"/>
        </w:trPr>
        <w:tc>
          <w:tcPr>
            <w:tcW w:w="6814" w:type="dxa"/>
            <w:gridSpan w:val="4"/>
            <w:tcBorders>
              <w:top w:val="single" w:sz="2" w:space="0" w:color="000000"/>
              <w:start w:val="single" w:sz="2" w:space="0" w:color="000000"/>
              <w:bottom w:val="single" w:sz="2" w:space="0" w:color="000000"/>
            </w:tcBorders>
          </w:tcPr>
          <w:p>
            <w:pPr>
              <w:pStyle w:val="Normal"/>
              <w:autoSpaceDE w:val="false"/>
              <w:jc w:val="center"/>
              <w:rPr>
                <w:rFonts w:ascii="Arial" w:hAnsi="Arial" w:cs="Arial"/>
                <w:b/>
                <w:color w:val="000000"/>
                <w:sz w:val="20"/>
              </w:rPr>
            </w:pPr>
            <w:r>
              <w:rPr>
                <w:rFonts w:cs="Arial" w:ascii="Arial" w:hAnsi="Arial"/>
                <w:b/>
                <w:color w:val="000000"/>
                <w:sz w:val="20"/>
              </w:rPr>
              <w:t>Balance Sheet</w:t>
            </w:r>
          </w:p>
        </w:tc>
        <w:tc>
          <w:tcPr>
            <w:tcW w:w="1749" w:type="dxa"/>
            <w:tcBorders>
              <w:top w:val="single" w:sz="2" w:space="0" w:color="000000"/>
              <w:bottom w:val="single" w:sz="2" w:space="0" w:color="000000"/>
              <w:end w:val="single" w:sz="2" w:space="0" w:color="000000"/>
            </w:tcBorders>
          </w:tcPr>
          <w:p>
            <w:pPr>
              <w:pStyle w:val="Normal"/>
              <w:autoSpaceDE w:val="false"/>
              <w:snapToGrid w:val="false"/>
              <w:jc w:val="center"/>
              <w:rPr>
                <w:rFonts w:ascii="Arial" w:hAnsi="Arial" w:cs="Arial"/>
                <w:b/>
                <w:color w:val="000000"/>
                <w:sz w:val="20"/>
              </w:rPr>
            </w:pPr>
            <w:r>
              <w:rPr>
                <w:rFonts w:cs="Arial" w:ascii="Arial" w:hAnsi="Arial"/>
                <w:b/>
                <w:color w:val="000000"/>
                <w:sz w:val="20"/>
              </w:rPr>
            </w:r>
          </w:p>
        </w:tc>
      </w:tr>
      <w:tr>
        <w:trPr>
          <w:trHeight w:val="305" w:hRule="atLeast"/>
        </w:trPr>
        <w:tc>
          <w:tcPr>
            <w:tcW w:w="6814" w:type="dxa"/>
            <w:gridSpan w:val="4"/>
            <w:tcBorders>
              <w:top w:val="single" w:sz="2" w:space="0" w:color="000000"/>
              <w:start w:val="single" w:sz="2" w:space="0" w:color="000000"/>
              <w:bottom w:val="single" w:sz="2" w:space="0" w:color="000000"/>
            </w:tcBorders>
          </w:tcPr>
          <w:p>
            <w:pPr>
              <w:pStyle w:val="Normal"/>
              <w:autoSpaceDE w:val="false"/>
              <w:jc w:val="center"/>
              <w:rPr>
                <w:rFonts w:ascii="Arial" w:hAnsi="Arial" w:cs="Arial"/>
                <w:b/>
                <w:color w:val="000000"/>
                <w:sz w:val="20"/>
              </w:rPr>
            </w:pPr>
            <w:r>
              <w:rPr>
                <w:rFonts w:cs="Arial" w:ascii="Arial" w:hAnsi="Arial"/>
                <w:b/>
                <w:color w:val="000000"/>
                <w:sz w:val="20"/>
              </w:rPr>
              <w:t>As of 07/31/00</w:t>
            </w:r>
          </w:p>
        </w:tc>
        <w:tc>
          <w:tcPr>
            <w:tcW w:w="1749" w:type="dxa"/>
            <w:tcBorders>
              <w:top w:val="single" w:sz="2" w:space="0" w:color="000000"/>
              <w:bottom w:val="single" w:sz="2" w:space="0" w:color="000000"/>
              <w:end w:val="single" w:sz="2" w:space="0" w:color="000000"/>
            </w:tcBorders>
          </w:tcPr>
          <w:p>
            <w:pPr>
              <w:pStyle w:val="Normal"/>
              <w:autoSpaceDE w:val="false"/>
              <w:snapToGrid w:val="false"/>
              <w:jc w:val="center"/>
              <w:rPr>
                <w:rFonts w:ascii="Arial" w:hAnsi="Arial" w:cs="Arial"/>
                <w:b/>
                <w:color w:val="000000"/>
                <w:sz w:val="20"/>
              </w:rPr>
            </w:pPr>
            <w:r>
              <w:rPr>
                <w:rFonts w:cs="Arial" w:ascii="Arial" w:hAnsi="Arial"/>
                <w:b/>
                <w:color w:val="000000"/>
                <w:sz w:val="20"/>
              </w:rPr>
            </w:r>
          </w:p>
        </w:tc>
      </w:tr>
      <w:tr>
        <w:trPr>
          <w:trHeight w:val="247" w:hRule="atLeast"/>
        </w:trPr>
        <w:tc>
          <w:tcPr>
            <w:tcW w:w="6814" w:type="dxa"/>
            <w:gridSpan w:val="4"/>
            <w:tcBorders>
              <w:top w:val="single" w:sz="2" w:space="0" w:color="000000"/>
              <w:start w:val="single" w:sz="2" w:space="0" w:color="000000"/>
              <w:bottom w:val="single" w:sz="2" w:space="0" w:color="000000"/>
            </w:tcBorders>
          </w:tcPr>
          <w:p>
            <w:pPr>
              <w:pStyle w:val="Normal"/>
              <w:autoSpaceDE w:val="false"/>
              <w:jc w:val="center"/>
              <w:rPr>
                <w:rFonts w:ascii="Arial" w:hAnsi="Arial" w:cs="Arial"/>
                <w:b/>
                <w:color w:val="000000"/>
                <w:sz w:val="20"/>
              </w:rPr>
            </w:pPr>
            <w:r>
              <w:rPr>
                <w:rFonts w:cs="Arial" w:ascii="Arial" w:hAnsi="Arial"/>
                <w:b/>
                <w:color w:val="000000"/>
                <w:sz w:val="20"/>
              </w:rPr>
              <w:t>(Dollars in Thousands)</w:t>
            </w:r>
          </w:p>
        </w:tc>
        <w:tc>
          <w:tcPr>
            <w:tcW w:w="1749" w:type="dxa"/>
            <w:tcBorders>
              <w:top w:val="single" w:sz="2" w:space="0" w:color="000000"/>
              <w:bottom w:val="single" w:sz="2" w:space="0" w:color="000000"/>
              <w:end w:val="single" w:sz="2" w:space="0" w:color="000000"/>
            </w:tcBorders>
          </w:tcPr>
          <w:p>
            <w:pPr>
              <w:pStyle w:val="Normal"/>
              <w:autoSpaceDE w:val="false"/>
              <w:snapToGrid w:val="false"/>
              <w:jc w:val="center"/>
              <w:rPr>
                <w:rFonts w:ascii="Arial" w:hAnsi="Arial" w:cs="Arial"/>
                <w:b/>
                <w:color w:val="000000"/>
                <w:sz w:val="20"/>
              </w:rPr>
            </w:pPr>
            <w:r>
              <w:rPr>
                <w:rFonts w:cs="Arial" w:ascii="Arial" w:hAnsi="Arial"/>
                <w:b/>
                <w:color w:val="000000"/>
                <w:sz w:val="20"/>
              </w:rPr>
            </w:r>
          </w:p>
        </w:tc>
      </w:tr>
      <w:tr>
        <w:trPr>
          <w:trHeight w:val="247" w:hRule="atLeast"/>
        </w:trPr>
        <w:tc>
          <w:tcPr>
            <w:tcW w:w="840" w:type="dxa"/>
            <w:gridSpan w:val="3"/>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cs="Arial" w:ascii="Arial" w:hAnsi="Arial"/>
                <w:b/>
                <w:color w:val="000000"/>
                <w:sz w:val="20"/>
              </w:rPr>
              <w:t>Assets</w:t>
            </w:r>
          </w:p>
        </w:tc>
        <w:tc>
          <w:tcPr>
            <w:tcW w:w="5974"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center"/>
              <w:rPr>
                <w:rFonts w:ascii="Arial" w:hAnsi="Arial" w:cs="Arial"/>
                <w:b/>
                <w:color w:val="000000"/>
                <w:sz w:val="20"/>
              </w:rPr>
            </w:pPr>
            <w:r>
              <w:rPr>
                <w:rFonts w:cs="Arial" w:ascii="Arial" w:hAnsi="Arial"/>
                <w:b/>
                <w:color w:val="000000"/>
                <w:sz w:val="20"/>
              </w:rPr>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466" w:type="dxa"/>
            <w:gridSpan w:val="3"/>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cs="Arial" w:ascii="Arial" w:hAnsi="Arial"/>
                <w:b/>
                <w:color w:val="000000"/>
                <w:sz w:val="20"/>
              </w:rPr>
              <w:t>Current Assets</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center"/>
              <w:rPr>
                <w:rFonts w:ascii="Arial" w:hAnsi="Arial" w:cs="Arial"/>
                <w:b/>
                <w:color w:val="000000"/>
                <w:sz w:val="20"/>
              </w:rPr>
            </w:pPr>
            <w:r>
              <w:rPr>
                <w:rFonts w:cs="Arial" w:ascii="Arial" w:hAnsi="Arial"/>
                <w:b/>
                <w:color w:val="000000"/>
                <w:sz w:val="20"/>
              </w:rPr>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Working Gas</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271,635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Linepack</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8,952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Liquids Inventory</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6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Materials and Supplies</w:t>
            </w:r>
          </w:p>
        </w:tc>
        <w:tc>
          <w:tcPr>
            <w:tcW w:w="1749" w:type="dxa"/>
            <w:tcBorders>
              <w:top w:val="single" w:sz="2" w:space="0" w:color="000000"/>
              <w:start w:val="single" w:sz="2" w:space="0" w:color="000000"/>
              <w:bottom w:val="single" w:sz="6"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2,676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eastAsia="Arial" w:cs="Arial" w:ascii="Arial" w:hAnsi="Arial"/>
                <w:b/>
                <w:color w:val="000000"/>
                <w:sz w:val="20"/>
              </w:rPr>
              <w:t xml:space="preserve">     </w:t>
            </w:r>
            <w:r>
              <w:rPr>
                <w:rFonts w:cs="Arial" w:ascii="Arial" w:hAnsi="Arial"/>
                <w:b/>
                <w:color w:val="000000"/>
                <w:sz w:val="20"/>
              </w:rPr>
              <w:t>Total Inventories</w:t>
            </w:r>
          </w:p>
        </w:tc>
        <w:tc>
          <w:tcPr>
            <w:tcW w:w="1749" w:type="dxa"/>
            <w:tcBorders>
              <w:top w:val="single" w:sz="6" w:space="0" w:color="000000"/>
              <w:start w:val="single" w:sz="2" w:space="0" w:color="000000"/>
              <w:bottom w:val="single" w:sz="6"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11,634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749" w:type="dxa"/>
            <w:tcBorders>
              <w:top w:val="single" w:sz="6"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Prepayments:</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American Energy Partners, Inc.</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150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Carriz Oil &amp; Gas, Inc.</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243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Hydrocarbon Operating Inc.</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34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Sterling Bank Inc.</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3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Verus Energy, Inc.</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132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Transportation</w:t>
            </w:r>
          </w:p>
        </w:tc>
        <w:tc>
          <w:tcPr>
            <w:tcW w:w="1749" w:type="dxa"/>
            <w:tcBorders>
              <w:top w:val="single" w:sz="2" w:space="0" w:color="000000"/>
              <w:start w:val="single" w:sz="2" w:space="0" w:color="000000"/>
              <w:bottom w:val="single" w:sz="6"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310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Subtotal Prepayments</w:t>
            </w:r>
          </w:p>
        </w:tc>
        <w:tc>
          <w:tcPr>
            <w:tcW w:w="1749" w:type="dxa"/>
            <w:tcBorders>
              <w:top w:val="single" w:sz="6" w:space="0" w:color="000000"/>
              <w:start w:val="single" w:sz="2" w:space="0" w:color="000000"/>
              <w:bottom w:val="single" w:sz="6"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872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Deferred Unaccounted For Gas - Current Month</w:t>
            </w:r>
          </w:p>
        </w:tc>
        <w:tc>
          <w:tcPr>
            <w:tcW w:w="1749" w:type="dxa"/>
            <w:tcBorders>
              <w:top w:val="single" w:sz="6" w:space="0" w:color="000000"/>
              <w:start w:val="single" w:sz="2" w:space="0" w:color="000000"/>
              <w:bottom w:val="single" w:sz="2"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34,370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Deferred Unaccounted For Gas - Prior Months</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4,042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Other</w:t>
            </w:r>
          </w:p>
        </w:tc>
        <w:tc>
          <w:tcPr>
            <w:tcW w:w="1749" w:type="dxa"/>
            <w:tcBorders>
              <w:top w:val="single" w:sz="2" w:space="0" w:color="000000"/>
              <w:start w:val="single" w:sz="2" w:space="0" w:color="000000"/>
              <w:bottom w:val="single" w:sz="6"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70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eastAsia="Arial" w:cs="Arial" w:ascii="Arial" w:hAnsi="Arial"/>
                <w:b/>
                <w:color w:val="000000"/>
                <w:sz w:val="20"/>
              </w:rPr>
              <w:t xml:space="preserve">     </w:t>
            </w:r>
            <w:r>
              <w:rPr>
                <w:rFonts w:cs="Arial" w:ascii="Arial" w:hAnsi="Arial"/>
                <w:b/>
                <w:color w:val="000000"/>
                <w:sz w:val="20"/>
              </w:rPr>
              <w:t>Total Other</w:t>
            </w:r>
          </w:p>
        </w:tc>
        <w:tc>
          <w:tcPr>
            <w:tcW w:w="1749" w:type="dxa"/>
            <w:tcBorders>
              <w:top w:val="single" w:sz="6" w:space="0" w:color="000000"/>
              <w:start w:val="single" w:sz="2" w:space="0" w:color="000000"/>
              <w:bottom w:val="single" w:sz="6"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39,354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749" w:type="dxa"/>
            <w:tcBorders>
              <w:top w:val="single" w:sz="6" w:space="0" w:color="000000"/>
              <w:start w:val="single" w:sz="2" w:space="0" w:color="000000"/>
              <w:bottom w:val="single" w:sz="6"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466" w:type="dxa"/>
            <w:gridSpan w:val="3"/>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cs="Arial" w:ascii="Arial" w:hAnsi="Arial"/>
                <w:b/>
                <w:color w:val="000000"/>
                <w:sz w:val="20"/>
              </w:rPr>
              <w:t>Total Current Assets</w:t>
            </w:r>
          </w:p>
        </w:tc>
        <w:tc>
          <w:tcPr>
            <w:tcW w:w="1749" w:type="dxa"/>
            <w:tcBorders>
              <w:top w:val="single" w:sz="6" w:space="0" w:color="000000"/>
              <w:start w:val="single" w:sz="2" w:space="0" w:color="000000"/>
              <w:bottom w:val="single" w:sz="6" w:space="0" w:color="000000"/>
              <w:end w:val="single" w:sz="2" w:space="0" w:color="000000"/>
            </w:tcBorders>
          </w:tcPr>
          <w:p>
            <w:pPr>
              <w:pStyle w:val="Normal"/>
              <w:autoSpaceDE w:val="false"/>
              <w:jc w:val="end"/>
              <w:rPr>
                <w:rFonts w:ascii="Arial" w:hAnsi="Arial" w:cs="Arial"/>
                <w:b/>
                <w:color w:val="000000"/>
                <w:sz w:val="20"/>
              </w:rPr>
            </w:pPr>
            <w:r>
              <w:rPr>
                <w:rFonts w:eastAsia="Arial" w:cs="Arial" w:ascii="Arial" w:hAnsi="Arial"/>
                <w:b/>
                <w:color w:val="000000"/>
                <w:sz w:val="20"/>
              </w:rPr>
              <w:t xml:space="preserve">              </w:t>
            </w:r>
            <w:r>
              <w:rPr>
                <w:rFonts w:cs="Arial" w:ascii="Arial" w:hAnsi="Arial"/>
                <w:b/>
                <w:color w:val="000000"/>
                <w:sz w:val="20"/>
              </w:rPr>
              <w:t xml:space="preserve">322,623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1749" w:type="dxa"/>
            <w:tcBorders>
              <w:top w:val="single" w:sz="6"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466" w:type="dxa"/>
            <w:gridSpan w:val="3"/>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cs="Arial" w:ascii="Arial" w:hAnsi="Arial"/>
                <w:b/>
                <w:color w:val="000000"/>
                <w:sz w:val="20"/>
              </w:rPr>
              <w:t>Net PP&amp;E</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Arial" w:hAnsi="Arial" w:cs="Arial"/>
                <w:b/>
                <w:color w:val="000000"/>
                <w:sz w:val="20"/>
              </w:rPr>
            </w:pPr>
            <w:r>
              <w:rPr>
                <w:rFonts w:eastAsia="Arial" w:cs="Arial" w:ascii="Arial" w:hAnsi="Arial"/>
                <w:b/>
                <w:color w:val="000000"/>
                <w:sz w:val="20"/>
              </w:rPr>
              <w:t xml:space="preserve">              </w:t>
            </w:r>
            <w:r>
              <w:rPr>
                <w:rFonts w:cs="Arial" w:ascii="Arial" w:hAnsi="Arial"/>
                <w:b/>
                <w:color w:val="000000"/>
                <w:sz w:val="20"/>
              </w:rPr>
              <w:t xml:space="preserve">370,579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466" w:type="dxa"/>
            <w:gridSpan w:val="3"/>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cs="Arial" w:ascii="Arial" w:hAnsi="Arial"/>
                <w:b/>
                <w:color w:val="000000"/>
                <w:sz w:val="20"/>
              </w:rPr>
              <w:t>Other Assets</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Prepaid Reservation Fee - MidTexas</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7,645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Operations Technology Services Project - As Builts</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3,545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Big Cowboy Investment</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2,709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Texas Department of Transportation Receivable</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1,564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Entex Facility Additions</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992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HMS Labor Fees</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434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Lyondell Discount Prepayment</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409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Right of Way Project</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54 </w:t>
            </w:r>
          </w:p>
        </w:tc>
      </w:tr>
      <w:tr>
        <w:trPr>
          <w:trHeight w:val="262"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Gregg Model Enhancement</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66 </w:t>
            </w:r>
          </w:p>
        </w:tc>
      </w:tr>
      <w:tr>
        <w:trPr>
          <w:trHeight w:val="262"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Bammel Project As Built Packages</w:t>
            </w:r>
          </w:p>
        </w:tc>
        <w:tc>
          <w:tcPr>
            <w:tcW w:w="1749" w:type="dxa"/>
            <w:tcBorders>
              <w:top w:val="single" w:sz="2" w:space="0" w:color="000000"/>
              <w:start w:val="single" w:sz="2" w:space="0" w:color="000000"/>
              <w:bottom w:val="single" w:sz="6" w:space="0" w:color="000000"/>
              <w:end w:val="single" w:sz="2" w:space="0" w:color="000000"/>
            </w:tcBorders>
          </w:tcPr>
          <w:p>
            <w:pPr>
              <w:pStyle w:val="Normal"/>
              <w:autoSpaceDE w:val="false"/>
              <w:jc w:val="end"/>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66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eastAsia="Arial" w:cs="Arial" w:ascii="Arial" w:hAnsi="Arial"/>
                <w:b/>
                <w:color w:val="000000"/>
                <w:sz w:val="20"/>
              </w:rPr>
              <w:t xml:space="preserve">     </w:t>
            </w:r>
            <w:r>
              <w:rPr>
                <w:rFonts w:cs="Arial" w:ascii="Arial" w:hAnsi="Arial"/>
                <w:b/>
                <w:color w:val="000000"/>
                <w:sz w:val="20"/>
              </w:rPr>
              <w:t>Total Other Assets</w:t>
            </w:r>
          </w:p>
        </w:tc>
        <w:tc>
          <w:tcPr>
            <w:tcW w:w="1749" w:type="dxa"/>
            <w:tcBorders>
              <w:top w:val="single" w:sz="6" w:space="0" w:color="000000"/>
              <w:start w:val="single" w:sz="2" w:space="0" w:color="000000"/>
              <w:bottom w:val="single" w:sz="6" w:space="0" w:color="000000"/>
              <w:end w:val="single" w:sz="2" w:space="0" w:color="000000"/>
            </w:tcBorders>
          </w:tcPr>
          <w:p>
            <w:pPr>
              <w:pStyle w:val="Normal"/>
              <w:autoSpaceDE w:val="false"/>
              <w:jc w:val="end"/>
              <w:rPr>
                <w:rFonts w:ascii="Arial" w:hAnsi="Arial" w:cs="Arial"/>
                <w:b/>
                <w:color w:val="000000"/>
                <w:sz w:val="20"/>
              </w:rPr>
            </w:pPr>
            <w:r>
              <w:rPr>
                <w:rFonts w:eastAsia="Arial" w:cs="Arial" w:ascii="Arial" w:hAnsi="Arial"/>
                <w:b/>
                <w:color w:val="000000"/>
                <w:sz w:val="20"/>
              </w:rPr>
              <w:t xml:space="preserve">               </w:t>
            </w:r>
            <w:r>
              <w:rPr>
                <w:rFonts w:cs="Arial" w:ascii="Arial" w:hAnsi="Arial"/>
                <w:b/>
                <w:color w:val="000000"/>
                <w:sz w:val="20"/>
              </w:rPr>
              <w:t xml:space="preserve">17,484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749" w:type="dxa"/>
            <w:tcBorders>
              <w:top w:val="single" w:sz="2" w:space="0" w:color="000000"/>
              <w:start w:val="single" w:sz="2" w:space="0" w:color="000000"/>
              <w:bottom w:val="single" w:sz="6"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r>
      <w:tr>
        <w:trPr>
          <w:trHeight w:val="262" w:hRule="atLeast"/>
        </w:trPr>
        <w:tc>
          <w:tcPr>
            <w:tcW w:w="6814" w:type="dxa"/>
            <w:gridSpan w:val="4"/>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cs="Arial" w:ascii="Arial" w:hAnsi="Arial"/>
                <w:b/>
                <w:color w:val="000000"/>
                <w:sz w:val="20"/>
              </w:rPr>
              <w:t>Total Assets</w:t>
            </w:r>
          </w:p>
        </w:tc>
        <w:tc>
          <w:tcPr>
            <w:tcW w:w="1749" w:type="dxa"/>
            <w:tcBorders>
              <w:top w:val="single" w:sz="6" w:space="0" w:color="000000"/>
              <w:start w:val="single" w:sz="2" w:space="0" w:color="000000"/>
              <w:bottom w:val="double" w:sz="6" w:space="0" w:color="000000"/>
              <w:end w:val="single" w:sz="2" w:space="0" w:color="000000"/>
            </w:tcBorders>
          </w:tcPr>
          <w:p>
            <w:pPr>
              <w:pStyle w:val="Normal"/>
              <w:autoSpaceDE w:val="false"/>
              <w:jc w:val="end"/>
              <w:rPr>
                <w:rFonts w:ascii="Arial" w:hAnsi="Arial" w:cs="Arial"/>
                <w:b/>
                <w:color w:val="000000"/>
                <w:sz w:val="20"/>
              </w:rPr>
            </w:pPr>
            <w:r>
              <w:rPr>
                <w:rFonts w:eastAsia="Arial" w:cs="Arial" w:ascii="Arial" w:hAnsi="Arial"/>
                <w:b/>
                <w:color w:val="000000"/>
                <w:sz w:val="20"/>
              </w:rPr>
              <w:t xml:space="preserve"> </w:t>
            </w:r>
            <w:r>
              <w:rPr>
                <w:rFonts w:cs="Arial" w:ascii="Arial" w:hAnsi="Arial"/>
                <w:b/>
                <w:color w:val="000000"/>
                <w:sz w:val="20"/>
              </w:rPr>
              <w:t xml:space="preserve">$           710,686 </w:t>
            </w:r>
          </w:p>
        </w:tc>
      </w:tr>
      <w:tr>
        <w:trPr>
          <w:trHeight w:val="262"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749" w:type="dxa"/>
            <w:tcBorders>
              <w:top w:val="double" w:sz="6"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r>
      <w:tr>
        <w:trPr>
          <w:trHeight w:val="247" w:hRule="atLeast"/>
        </w:trPr>
        <w:tc>
          <w:tcPr>
            <w:tcW w:w="6814" w:type="dxa"/>
            <w:gridSpan w:val="4"/>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cs="Arial" w:ascii="Arial" w:hAnsi="Arial"/>
                <w:b/>
                <w:color w:val="000000"/>
                <w:sz w:val="20"/>
              </w:rPr>
              <w:t>Liabilities</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Arial" w:hAnsi="Arial" w:cs="Arial"/>
                <w:b/>
                <w:color w:val="000000"/>
                <w:sz w:val="20"/>
              </w:rPr>
            </w:pPr>
            <w:r>
              <w:rPr>
                <w:rFonts w:eastAsia="Arial" w:cs="Arial" w:ascii="Arial" w:hAnsi="Arial"/>
                <w:b/>
                <w:color w:val="000000"/>
                <w:sz w:val="20"/>
              </w:rPr>
              <w:t xml:space="preserve"> </w:t>
            </w:r>
            <w:r>
              <w:rPr>
                <w:rFonts w:cs="Arial" w:ascii="Arial" w:hAnsi="Arial"/>
                <w:b/>
                <w:color w:val="000000"/>
                <w:sz w:val="20"/>
              </w:rPr>
              <w:t xml:space="preserve">$                   -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r>
      <w:tr>
        <w:trPr>
          <w:trHeight w:val="247" w:hRule="atLeast"/>
        </w:trPr>
        <w:tc>
          <w:tcPr>
            <w:tcW w:w="6814" w:type="dxa"/>
            <w:gridSpan w:val="4"/>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cs="Arial" w:ascii="Arial" w:hAnsi="Arial"/>
                <w:b/>
                <w:color w:val="000000"/>
                <w:sz w:val="20"/>
              </w:rPr>
              <w:t>Total Stockholder's Equity</w:t>
            </w:r>
          </w:p>
        </w:tc>
        <w:tc>
          <w:tcPr>
            <w:tcW w:w="1749"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Arial" w:hAnsi="Arial" w:cs="Arial"/>
                <w:b/>
                <w:color w:val="000000"/>
                <w:sz w:val="20"/>
              </w:rPr>
            </w:pPr>
            <w:r>
              <w:rPr>
                <w:rFonts w:eastAsia="Arial" w:cs="Arial" w:ascii="Arial" w:hAnsi="Arial"/>
                <w:b/>
                <w:color w:val="000000"/>
                <w:sz w:val="20"/>
              </w:rPr>
              <w:t xml:space="preserve"> </w:t>
            </w:r>
            <w:r>
              <w:rPr>
                <w:rFonts w:cs="Arial" w:ascii="Arial" w:hAnsi="Arial"/>
                <w:b/>
                <w:color w:val="000000"/>
                <w:sz w:val="20"/>
              </w:rPr>
              <w:t xml:space="preserve">$           710,686 </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749" w:type="dxa"/>
            <w:tcBorders>
              <w:top w:val="single" w:sz="2" w:space="0" w:color="000000"/>
              <w:start w:val="single" w:sz="2" w:space="0" w:color="000000"/>
              <w:bottom w:val="single" w:sz="6"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r>
      <w:tr>
        <w:trPr>
          <w:trHeight w:val="262" w:hRule="atLeast"/>
        </w:trPr>
        <w:tc>
          <w:tcPr>
            <w:tcW w:w="6814" w:type="dxa"/>
            <w:gridSpan w:val="4"/>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cs="Arial" w:ascii="Arial" w:hAnsi="Arial"/>
                <w:b/>
                <w:color w:val="000000"/>
                <w:sz w:val="20"/>
              </w:rPr>
              <w:t>Total Liabilities and Stockholder's Equity</w:t>
            </w:r>
          </w:p>
        </w:tc>
        <w:tc>
          <w:tcPr>
            <w:tcW w:w="1749" w:type="dxa"/>
            <w:tcBorders>
              <w:top w:val="single" w:sz="6" w:space="0" w:color="000000"/>
              <w:start w:val="single" w:sz="2" w:space="0" w:color="000000"/>
              <w:bottom w:val="double" w:sz="6" w:space="0" w:color="000000"/>
              <w:end w:val="single" w:sz="2" w:space="0" w:color="000000"/>
            </w:tcBorders>
          </w:tcPr>
          <w:p>
            <w:pPr>
              <w:pStyle w:val="Normal"/>
              <w:autoSpaceDE w:val="false"/>
              <w:jc w:val="end"/>
              <w:rPr>
                <w:rFonts w:ascii="Arial" w:hAnsi="Arial" w:cs="Arial"/>
                <w:b/>
                <w:color w:val="000000"/>
                <w:sz w:val="20"/>
              </w:rPr>
            </w:pPr>
            <w:r>
              <w:rPr>
                <w:rFonts w:eastAsia="Arial" w:cs="Arial" w:ascii="Arial" w:hAnsi="Arial"/>
                <w:b/>
                <w:color w:val="000000"/>
                <w:sz w:val="20"/>
              </w:rPr>
              <w:t xml:space="preserve"> </w:t>
            </w:r>
            <w:r>
              <w:rPr>
                <w:rFonts w:cs="Arial" w:ascii="Arial" w:hAnsi="Arial"/>
                <w:b/>
                <w:color w:val="000000"/>
                <w:sz w:val="20"/>
              </w:rPr>
              <w:t xml:space="preserve">$           710,686 </w:t>
            </w:r>
          </w:p>
        </w:tc>
      </w:tr>
      <w:tr>
        <w:trPr>
          <w:trHeight w:val="262"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6104" w:type="dxa"/>
            <w:gridSpan w:val="2"/>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749" w:type="dxa"/>
            <w:tcBorders>
              <w:top w:val="double" w:sz="6"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r>
    </w:tbl>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fmt="decimal"/>
          <w:formProt w:val="false"/>
          <w:vAlign w:val="center"/>
          <w:textDirection w:val="lrTb"/>
          <w:docGrid w:type="default" w:linePitch="360" w:charSpace="0"/>
        </w:sectPr>
      </w:pPr>
    </w:p>
    <w:p>
      <w:pPr>
        <w:pStyle w:val="Normal"/>
        <w:tabs>
          <w:tab w:val="clear" w:pos="720"/>
          <w:tab w:val="left" w:pos="1080" w:leader="none"/>
        </w:tabs>
        <w:ind w:start="360" w:end="0"/>
        <w:rPr/>
      </w:pPr>
      <w:r>
        <w:rPr/>
      </w:r>
    </w:p>
    <w:p>
      <w:pPr>
        <w:pStyle w:val="Normal"/>
        <w:jc w:val="center"/>
        <w:rPr/>
      </w:pPr>
      <w:r>
        <w:rPr/>
        <w:t>PURCHASE AND SALE AGREEMENT</w:t>
      </w:r>
    </w:p>
    <w:p>
      <w:pPr>
        <w:pStyle w:val="Normal"/>
        <w:jc w:val="center"/>
        <w:rPr/>
      </w:pPr>
      <w:r>
        <w:rPr/>
      </w:r>
    </w:p>
    <w:p>
      <w:pPr>
        <w:pStyle w:val="Normal"/>
        <w:jc w:val="center"/>
        <w:rPr/>
      </w:pPr>
      <w:r>
        <w:rPr/>
        <w:t>Schedule 4.7(b)</w:t>
      </w:r>
    </w:p>
    <w:p>
      <w:pPr>
        <w:pStyle w:val="Normal"/>
        <w:jc w:val="center"/>
        <w:rPr/>
      </w:pPr>
      <w:r>
        <w:rPr/>
        <w:t>Exceptions to Balance Sheet</w:t>
      </w:r>
    </w:p>
    <w:p>
      <w:pPr>
        <w:pStyle w:val="Normal"/>
        <w:jc w:val="center"/>
        <w:rPr/>
      </w:pPr>
      <w:r>
        <w:rPr/>
      </w:r>
    </w:p>
    <w:p>
      <w:pPr>
        <w:pStyle w:val="Normal"/>
        <w:jc w:val="center"/>
        <w:rPr/>
      </w:pPr>
      <w:r>
        <w:rPr/>
      </w:r>
    </w:p>
    <w:p>
      <w:pPr>
        <w:pStyle w:val="Normal"/>
        <w:numPr>
          <w:ilvl w:val="0"/>
          <w:numId w:val="7"/>
        </w:numPr>
        <w:rPr/>
      </w:pPr>
      <w:r>
        <w:rPr/>
        <w:t>The Balance Sheet assumes that the Excluded Assets and Retained Liabilities have been transferred out of Houston Pipe Line Company (or, with respect to certain subsidiaries associated with the unwind of certain monetizations, dissolved) as of July 31, 2000.</w:t>
      </w:r>
    </w:p>
    <w:p>
      <w:pPr>
        <w:pStyle w:val="Normal"/>
        <w:rPr/>
      </w:pPr>
      <w:r>
        <w:rPr/>
      </w:r>
    </w:p>
    <w:p>
      <w:pPr>
        <w:pStyle w:val="Normal"/>
        <w:tabs>
          <w:tab w:val="clear" w:pos="720"/>
          <w:tab w:val="left" w:pos="1080" w:leader="none"/>
        </w:tabs>
        <w:ind w:hanging="720" w:start="1080" w:end="0"/>
        <w:rPr/>
      </w:pPr>
      <w:r>
        <w:rPr/>
        <w:t>2.</w:t>
        <w:tab/>
        <w:t>Working Gas and Linepack Inventory are reflected at market value (based on          Houston Ship Channel prices as of September 13, 2000) rather than at cost.</w:t>
      </w:r>
      <w:r>
        <w:br w:type="page"/>
      </w:r>
    </w:p>
    <w:p>
      <w:pPr>
        <w:pStyle w:val="Normal"/>
        <w:jc w:val="center"/>
        <w:rPr/>
      </w:pPr>
      <w:r>
        <w:rPr/>
        <w:t>PURCHASE AND SALE AGREEMENT</w:t>
      </w:r>
    </w:p>
    <w:p>
      <w:pPr>
        <w:pStyle w:val="Normal"/>
        <w:jc w:val="center"/>
        <w:rPr/>
      </w:pPr>
      <w:r>
        <w:rPr/>
      </w:r>
    </w:p>
    <w:p>
      <w:pPr>
        <w:pStyle w:val="Normal"/>
        <w:jc w:val="center"/>
        <w:rPr/>
      </w:pPr>
      <w:r>
        <w:rPr/>
        <w:t>Schedule 4.7(c)</w:t>
      </w:r>
    </w:p>
    <w:p>
      <w:pPr>
        <w:pStyle w:val="Normal"/>
        <w:tabs>
          <w:tab w:val="clear" w:pos="720"/>
          <w:tab w:val="left" w:pos="1080" w:leader="none"/>
        </w:tabs>
        <w:ind w:hanging="720" w:start="1080" w:end="0"/>
        <w:jc w:val="center"/>
        <w:rPr/>
      </w:pPr>
      <w:r>
        <w:rPr/>
        <w:t>Liabilities and Obligations to Balance Sheet</w:t>
      </w:r>
    </w:p>
    <w:p>
      <w:pPr>
        <w:pStyle w:val="Normal"/>
        <w:tabs>
          <w:tab w:val="clear" w:pos="720"/>
          <w:tab w:val="left" w:pos="1080" w:leader="none"/>
        </w:tabs>
        <w:ind w:hanging="720" w:start="1080" w:end="0"/>
        <w:jc w:val="center"/>
        <w:rPr/>
      </w:pPr>
      <w:r>
        <w:rPr/>
      </w:r>
    </w:p>
    <w:p>
      <w:pPr>
        <w:pStyle w:val="Normal"/>
        <w:tabs>
          <w:tab w:val="clear" w:pos="720"/>
          <w:tab w:val="left" w:pos="1080" w:leader="none"/>
        </w:tabs>
        <w:ind w:hanging="720" w:start="1080" w:end="0"/>
        <w:jc w:val="center"/>
        <w:rPr/>
      </w:pPr>
      <w:r>
        <w:rPr/>
        <w:t>[To Come]</w:t>
      </w:r>
      <w:r>
        <w:br w:type="page"/>
      </w:r>
    </w:p>
    <w:p>
      <w:pPr>
        <w:pStyle w:val="Normal"/>
        <w:jc w:val="center"/>
        <w:rPr/>
      </w:pPr>
      <w:r>
        <w:rPr/>
        <w:t>PURCHASE AND SALE AGREEMENT</w:t>
      </w:r>
    </w:p>
    <w:p>
      <w:pPr>
        <w:pStyle w:val="Normal"/>
        <w:jc w:val="center"/>
        <w:rPr/>
      </w:pPr>
      <w:r>
        <w:rPr/>
      </w:r>
    </w:p>
    <w:p>
      <w:pPr>
        <w:pStyle w:val="Normal"/>
        <w:jc w:val="center"/>
        <w:rPr/>
      </w:pPr>
      <w:r>
        <w:rPr/>
        <w:t>Schedule 4.8</w:t>
      </w:r>
    </w:p>
    <w:p>
      <w:pPr>
        <w:pStyle w:val="Normal"/>
        <w:jc w:val="center"/>
        <w:rPr/>
      </w:pPr>
      <w:r>
        <w:rPr/>
        <w:t>Absence of Certain Changes</w:t>
      </w:r>
    </w:p>
    <w:p>
      <w:pPr>
        <w:pStyle w:val="Normal"/>
        <w:jc w:val="center"/>
        <w:rPr/>
      </w:pPr>
      <w:r>
        <w:rPr/>
      </w:r>
    </w:p>
    <w:p>
      <w:pPr>
        <w:pStyle w:val="Normal"/>
        <w:jc w:val="center"/>
        <w:rPr/>
      </w:pPr>
      <w:r>
        <w:rPr/>
      </w:r>
    </w:p>
    <w:p>
      <w:pPr>
        <w:pStyle w:val="Normal"/>
        <w:rPr/>
      </w:pPr>
      <w:r>
        <w:rPr/>
        <w:t>None.</w:t>
      </w:r>
      <w:r>
        <w:br w:type="page"/>
      </w:r>
    </w:p>
    <w:p>
      <w:pPr>
        <w:pStyle w:val="Normal"/>
        <w:jc w:val="center"/>
        <w:rPr/>
      </w:pPr>
      <w:r>
        <w:rPr/>
        <w:t>PURCHASE AND SALE AGREEMENT</w:t>
      </w:r>
    </w:p>
    <w:p>
      <w:pPr>
        <w:pStyle w:val="Normal"/>
        <w:jc w:val="center"/>
        <w:rPr/>
      </w:pPr>
      <w:r>
        <w:rPr/>
      </w:r>
    </w:p>
    <w:p>
      <w:pPr>
        <w:pStyle w:val="Normal"/>
        <w:jc w:val="center"/>
        <w:rPr/>
      </w:pPr>
      <w:r>
        <w:rPr/>
        <w:t>Schedule 4.9</w:t>
      </w:r>
    </w:p>
    <w:p>
      <w:pPr>
        <w:pStyle w:val="Normal"/>
        <w:jc w:val="center"/>
        <w:rPr/>
      </w:pPr>
      <w:r>
        <w:rPr/>
        <w:t>Tax Matters</w:t>
      </w:r>
    </w:p>
    <w:p>
      <w:pPr>
        <w:pStyle w:val="Normal"/>
        <w:jc w:val="center"/>
        <w:rPr/>
      </w:pPr>
      <w:r>
        <w:rPr/>
      </w:r>
    </w:p>
    <w:p>
      <w:pPr>
        <w:pStyle w:val="Header"/>
        <w:tabs>
          <w:tab w:val="clear" w:pos="4680"/>
          <w:tab w:val="clear" w:pos="9360"/>
        </w:tabs>
        <w:rPr/>
      </w:pPr>
      <w:r>
        <w:rPr/>
        <w:t>Pending Audits</w:t>
      </w:r>
    </w:p>
    <w:tbl>
      <w:tblPr>
        <w:tblW w:w="9576" w:type="dxa"/>
        <w:jc w:val="start"/>
        <w:tblInd w:w="0" w:type="dxa"/>
        <w:tblLayout w:type="fixed"/>
        <w:tblCellMar>
          <w:top w:w="0" w:type="dxa"/>
          <w:start w:w="108" w:type="dxa"/>
          <w:bottom w:w="0" w:type="dxa"/>
          <w:end w:w="108" w:type="dxa"/>
        </w:tblCellMar>
      </w:tblPr>
      <w:tblGrid>
        <w:gridCol w:w="2442"/>
        <w:gridCol w:w="1356"/>
        <w:gridCol w:w="1530"/>
        <w:gridCol w:w="1620"/>
        <w:gridCol w:w="2628"/>
      </w:tblGrid>
      <w:tr>
        <w:trPr/>
        <w:tc>
          <w:tcPr>
            <w:tcW w:w="2442"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rPr>
                <w:b/>
              </w:rPr>
            </w:pPr>
            <w:r>
              <w:rPr>
                <w:b/>
              </w:rPr>
            </w:r>
          </w:p>
          <w:p>
            <w:pPr>
              <w:pStyle w:val="Header"/>
              <w:tabs>
                <w:tab w:val="clear" w:pos="4680"/>
                <w:tab w:val="clear" w:pos="9360"/>
              </w:tabs>
              <w:rPr>
                <w:b/>
              </w:rPr>
            </w:pPr>
            <w:r>
              <w:rPr>
                <w:b/>
              </w:rPr>
              <w:t>Company</w:t>
            </w:r>
          </w:p>
        </w:tc>
        <w:tc>
          <w:tcPr>
            <w:tcW w:w="1356"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Tax Type</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Jurisdiction</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Audit Period</w:t>
            </w:r>
          </w:p>
        </w:tc>
        <w:tc>
          <w:tcPr>
            <w:tcW w:w="2628" w:type="dxa"/>
            <w:tcBorders>
              <w:top w:val="single" w:sz="4" w:space="0" w:color="000000"/>
              <w:start w:val="single" w:sz="4" w:space="0" w:color="000000"/>
              <w:bottom w:val="single" w:sz="4" w:space="0" w:color="000000"/>
              <w:end w:val="single" w:sz="4" w:space="0" w:color="000000"/>
            </w:tcBorders>
          </w:tcPr>
          <w:p>
            <w:pPr>
              <w:pStyle w:val="Normal"/>
              <w:rPr>
                <w:b/>
              </w:rPr>
            </w:pPr>
            <w:r>
              <w:rPr>
                <w:b/>
              </w:rPr>
              <w:t>Year Waived and Extension Date</w:t>
            </w:r>
          </w:p>
        </w:tc>
      </w:tr>
      <w:tr>
        <w:trPr/>
        <w:tc>
          <w:tcPr>
            <w:tcW w:w="244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3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6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442" w:type="dxa"/>
            <w:tcBorders>
              <w:top w:val="single" w:sz="4" w:space="0" w:color="000000"/>
              <w:start w:val="single" w:sz="4" w:space="0" w:color="000000"/>
              <w:bottom w:val="single" w:sz="4" w:space="0" w:color="000000"/>
              <w:end w:val="single" w:sz="4" w:space="0" w:color="000000"/>
            </w:tcBorders>
          </w:tcPr>
          <w:p>
            <w:pPr>
              <w:pStyle w:val="Normal"/>
              <w:rPr/>
            </w:pPr>
            <w:r>
              <w:rPr/>
              <w:t>Houston Pipe Line Company</w:t>
            </w:r>
          </w:p>
        </w:tc>
        <w:tc>
          <w:tcPr>
            <w:tcW w:w="1356" w:type="dxa"/>
            <w:tcBorders>
              <w:top w:val="single" w:sz="4" w:space="0" w:color="000000"/>
              <w:start w:val="single" w:sz="4" w:space="0" w:color="000000"/>
              <w:bottom w:val="single" w:sz="4" w:space="0" w:color="000000"/>
              <w:end w:val="single" w:sz="4" w:space="0" w:color="000000"/>
            </w:tcBorders>
          </w:tcPr>
          <w:p>
            <w:pPr>
              <w:pStyle w:val="Normal"/>
              <w:rPr/>
            </w:pPr>
            <w:r>
              <w:rPr/>
              <w:t>Direct Pay</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Texas</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7/93 – 9/97</w:t>
            </w:r>
          </w:p>
        </w:tc>
        <w:tc>
          <w:tcPr>
            <w:tcW w:w="2628" w:type="dxa"/>
            <w:tcBorders>
              <w:top w:val="single" w:sz="4" w:space="0" w:color="000000"/>
              <w:start w:val="single" w:sz="4" w:space="0" w:color="000000"/>
              <w:bottom w:val="single" w:sz="4" w:space="0" w:color="000000"/>
              <w:end w:val="single" w:sz="4" w:space="0" w:color="000000"/>
            </w:tcBorders>
          </w:tcPr>
          <w:p>
            <w:pPr>
              <w:pStyle w:val="Normal"/>
              <w:rPr/>
            </w:pPr>
            <w:r>
              <w:rPr/>
              <w:t>7/93 – 5/31/96; extended to 11/20/2000</w:t>
            </w:r>
          </w:p>
        </w:tc>
      </w:tr>
      <w:tr>
        <w:trPr/>
        <w:tc>
          <w:tcPr>
            <w:tcW w:w="244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6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442" w:type="dxa"/>
            <w:tcBorders>
              <w:top w:val="single" w:sz="4" w:space="0" w:color="000000"/>
              <w:start w:val="single" w:sz="4" w:space="0" w:color="000000"/>
              <w:bottom w:val="single" w:sz="4" w:space="0" w:color="000000"/>
              <w:end w:val="single" w:sz="4" w:space="0" w:color="000000"/>
            </w:tcBorders>
          </w:tcPr>
          <w:p>
            <w:pPr>
              <w:pStyle w:val="Normal"/>
              <w:rPr/>
            </w:pPr>
            <w:r>
              <w:rPr/>
              <w:t>Houston Pipe Line</w:t>
            </w:r>
          </w:p>
          <w:p>
            <w:pPr>
              <w:pStyle w:val="Normal"/>
              <w:rPr/>
            </w:pPr>
            <w:r>
              <w:rPr/>
              <w:t>Company</w:t>
            </w:r>
          </w:p>
        </w:tc>
        <w:tc>
          <w:tcPr>
            <w:tcW w:w="1356" w:type="dxa"/>
            <w:tcBorders>
              <w:top w:val="single" w:sz="4" w:space="0" w:color="000000"/>
              <w:start w:val="single" w:sz="4" w:space="0" w:color="000000"/>
              <w:bottom w:val="single" w:sz="4" w:space="0" w:color="000000"/>
              <w:end w:val="single" w:sz="4" w:space="0" w:color="000000"/>
            </w:tcBorders>
          </w:tcPr>
          <w:p>
            <w:pPr>
              <w:pStyle w:val="Normal"/>
              <w:rPr/>
            </w:pPr>
            <w:r>
              <w:rPr/>
              <w:t>Sales</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Texas</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4/94 – 9/96</w:t>
            </w:r>
          </w:p>
        </w:tc>
        <w:tc>
          <w:tcPr>
            <w:tcW w:w="2628" w:type="dxa"/>
            <w:tcBorders>
              <w:top w:val="single" w:sz="4" w:space="0" w:color="000000"/>
              <w:start w:val="single" w:sz="4" w:space="0" w:color="000000"/>
              <w:bottom w:val="single" w:sz="4" w:space="0" w:color="000000"/>
              <w:end w:val="single" w:sz="4" w:space="0" w:color="000000"/>
            </w:tcBorders>
          </w:tcPr>
          <w:p>
            <w:pPr>
              <w:pStyle w:val="Normal"/>
              <w:rPr/>
            </w:pPr>
            <w:r>
              <w:rPr/>
              <w:t>4/94 – 9/96; extended to 1/22/2001</w:t>
            </w:r>
          </w:p>
        </w:tc>
      </w:tr>
    </w:tbl>
    <w:p>
      <w:pPr>
        <w:pStyle w:val="Normal"/>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4.10(a)</w:t>
      </w:r>
    </w:p>
    <w:p>
      <w:pPr>
        <w:pStyle w:val="Normal"/>
        <w:jc w:val="center"/>
        <w:rPr/>
      </w:pPr>
      <w:r>
        <w:rPr/>
        <w:t>Compliance with Laws</w:t>
      </w:r>
    </w:p>
    <w:p>
      <w:pPr>
        <w:pStyle w:val="Normal"/>
        <w:jc w:val="center"/>
        <w:rPr/>
      </w:pPr>
      <w:r>
        <w:rPr/>
      </w:r>
    </w:p>
    <w:p>
      <w:pPr>
        <w:pStyle w:val="Normal"/>
        <w:jc w:val="center"/>
        <w:rPr/>
      </w:pPr>
      <w:r>
        <w:rPr/>
      </w:r>
    </w:p>
    <w:p>
      <w:pPr>
        <w:pStyle w:val="Normal"/>
        <w:rPr/>
      </w:pPr>
      <w:r>
        <w:rPr/>
        <w:t>None.</w:t>
      </w:r>
      <w:r>
        <w:br w:type="page"/>
      </w:r>
    </w:p>
    <w:p>
      <w:pPr>
        <w:pStyle w:val="Normal"/>
        <w:jc w:val="center"/>
        <w:rPr/>
      </w:pPr>
      <w:r>
        <w:rPr/>
        <w:t>PURCHASE AND SALE AGREEMENT</w:t>
      </w:r>
    </w:p>
    <w:p>
      <w:pPr>
        <w:pStyle w:val="Normal"/>
        <w:jc w:val="center"/>
        <w:rPr/>
      </w:pPr>
      <w:r>
        <w:rPr/>
      </w:r>
    </w:p>
    <w:p>
      <w:pPr>
        <w:pStyle w:val="Normal"/>
        <w:jc w:val="center"/>
        <w:rPr/>
      </w:pPr>
      <w:r>
        <w:rPr/>
        <w:t>Schedule 4.10(b)</w:t>
      </w:r>
    </w:p>
    <w:p>
      <w:pPr>
        <w:pStyle w:val="Normal"/>
        <w:jc w:val="center"/>
        <w:rPr/>
      </w:pPr>
      <w:r>
        <w:rPr/>
        <w:t xml:space="preserve">Permits </w:t>
      </w:r>
      <w:r>
        <w:br w:type="page"/>
      </w:r>
    </w:p>
    <w:p>
      <w:pPr>
        <w:pStyle w:val="Normal"/>
        <w:jc w:val="center"/>
        <w:rPr/>
      </w:pPr>
      <w:r>
        <w:rPr/>
        <w:t>PURCHASE AND SALE AGREEMENT</w:t>
      </w:r>
    </w:p>
    <w:p>
      <w:pPr>
        <w:pStyle w:val="Normal"/>
        <w:jc w:val="center"/>
        <w:rPr/>
      </w:pPr>
      <w:r>
        <w:rPr/>
      </w:r>
    </w:p>
    <w:p>
      <w:pPr>
        <w:pStyle w:val="Normal"/>
        <w:jc w:val="center"/>
        <w:rPr/>
      </w:pPr>
      <w:r>
        <w:rPr/>
        <w:t>Schedule 4.10(c)</w:t>
      </w:r>
    </w:p>
    <w:p>
      <w:pPr>
        <w:pStyle w:val="Normal"/>
        <w:jc w:val="center"/>
        <w:rPr/>
      </w:pPr>
      <w:r>
        <w:rPr/>
        <w:t>Companies Subject to Regulation</w:t>
      </w:r>
      <w:r>
        <w:br w:type="page"/>
      </w:r>
    </w:p>
    <w:p>
      <w:pPr>
        <w:pStyle w:val="Normal"/>
        <w:jc w:val="center"/>
        <w:rPr/>
      </w:pPr>
      <w:r>
        <w:rPr/>
        <w:t>PURCHASE AND SALE AGREEMENT</w:t>
      </w:r>
    </w:p>
    <w:p>
      <w:pPr>
        <w:pStyle w:val="Normal"/>
        <w:jc w:val="center"/>
        <w:rPr/>
      </w:pPr>
      <w:r>
        <w:rPr/>
      </w:r>
    </w:p>
    <w:p>
      <w:pPr>
        <w:pStyle w:val="Normal"/>
        <w:jc w:val="center"/>
        <w:rPr/>
      </w:pPr>
      <w:r>
        <w:rPr/>
        <w:t>Schedule 4.11</w:t>
      </w:r>
    </w:p>
    <w:p>
      <w:pPr>
        <w:pStyle w:val="Normal"/>
        <w:jc w:val="center"/>
        <w:rPr/>
      </w:pPr>
      <w:r>
        <w:rPr/>
        <w:t>Legal Proceedings</w:t>
      </w:r>
    </w:p>
    <w:p>
      <w:pPr>
        <w:pStyle w:val="Normal"/>
        <w:jc w:val="center"/>
        <w:rPr/>
      </w:pPr>
      <w:r>
        <w:rPr/>
      </w:r>
    </w:p>
    <w:p>
      <w:pPr>
        <w:pStyle w:val="Normal"/>
        <w:rPr/>
      </w:pPr>
      <w:r>
        <w:rPr>
          <w:b/>
        </w:rPr>
        <w:t>Note</w:t>
      </w:r>
      <w:r>
        <w:rPr/>
        <w:t>:  The following is a list of all pending Proceedings, however the fact that a matter is listed on this Schedule is in no way an admission by Seller that such matter could have a Material Adverse Effect.</w:t>
      </w:r>
    </w:p>
    <w:p>
      <w:pPr>
        <w:pStyle w:val="Normal"/>
        <w:jc w:val="center"/>
        <w:rPr/>
      </w:pPr>
      <w:r>
        <w:rPr/>
      </w:r>
    </w:p>
    <w:p>
      <w:pPr>
        <w:pStyle w:val="Normal"/>
        <w:numPr>
          <w:ilvl w:val="0"/>
          <w:numId w:val="3"/>
        </w:numPr>
        <w:tabs>
          <w:tab w:val="clear" w:pos="720"/>
        </w:tabs>
        <w:ind w:hanging="720" w:start="720" w:end="0"/>
        <w:jc w:val="both"/>
        <w:rPr/>
      </w:pPr>
      <w:r>
        <w:rPr/>
        <w:t xml:space="preserve">No.  1999-35747; </w:t>
      </w:r>
      <w:r>
        <w:rPr>
          <w:u w:val="single"/>
        </w:rPr>
        <w:t>HPL v. Specialty Sand Company and SKF Investments</w:t>
      </w:r>
      <w:r>
        <w:rPr/>
        <w:t>; In the 80</w:t>
      </w:r>
      <w:r>
        <w:rPr>
          <w:vertAlign w:val="superscript"/>
        </w:rPr>
        <w:t>th</w:t>
      </w:r>
      <w:r>
        <w:rPr/>
        <w:t xml:space="preserve"> Judicial District Court of Harris County, Texas; HPL has sued Specialty Sand for negligence.  Specialty Sand’s sand and gravel mining operations caused erosion and loss of lateral and subjacent support to an easement containing HPL’s pipeline.  HPL’s claim is for $700,000.</w:t>
      </w:r>
    </w:p>
    <w:p>
      <w:pPr>
        <w:pStyle w:val="Normal"/>
        <w:ind w:hanging="720" w:start="720" w:end="0"/>
        <w:jc w:val="both"/>
        <w:rPr/>
      </w:pPr>
      <w:r>
        <w:rPr/>
      </w:r>
    </w:p>
    <w:p>
      <w:pPr>
        <w:pStyle w:val="Normal"/>
        <w:numPr>
          <w:ilvl w:val="0"/>
          <w:numId w:val="3"/>
        </w:numPr>
        <w:tabs>
          <w:tab w:val="clear" w:pos="720"/>
        </w:tabs>
        <w:ind w:hanging="720" w:start="720" w:end="0"/>
        <w:jc w:val="both"/>
        <w:rPr/>
      </w:pPr>
      <w:r>
        <w:rPr/>
        <w:t xml:space="preserve">No. 32,305-99-8; </w:t>
      </w:r>
      <w:r>
        <w:rPr>
          <w:u w:val="single"/>
        </w:rPr>
        <w:t>Ralph Nerren v. Thomas Arthur Wallace, II, Beverly A. Wallace and HPL</w:t>
      </w:r>
      <w:r>
        <w:rPr/>
        <w:t>; In the District Court of Angelina County, Texas;  Plaintiffs have filed suit seeking an easement and/or right-of-way.</w:t>
      </w:r>
    </w:p>
    <w:p>
      <w:pPr>
        <w:pStyle w:val="Normal"/>
        <w:ind w:hanging="720" w:start="720" w:end="0"/>
        <w:jc w:val="both"/>
        <w:rPr/>
      </w:pPr>
      <w:r>
        <w:rPr/>
      </w:r>
    </w:p>
    <w:p>
      <w:pPr>
        <w:pStyle w:val="Normal"/>
        <w:numPr>
          <w:ilvl w:val="0"/>
          <w:numId w:val="3"/>
        </w:numPr>
        <w:tabs>
          <w:tab w:val="clear" w:pos="720"/>
        </w:tabs>
        <w:ind w:hanging="720" w:start="720" w:end="0"/>
        <w:jc w:val="both"/>
        <w:rPr/>
      </w:pPr>
      <w:r>
        <w:rPr/>
        <w:t xml:space="preserve">No. 99-05552; </w:t>
      </w:r>
      <w:r>
        <w:rPr>
          <w:u w:val="single"/>
        </w:rPr>
        <w:t>State of Texas and County of Galveston, Texas v. Lewis A. Wofford, Jr.</w:t>
      </w:r>
      <w:r>
        <w:rPr/>
        <w:t xml:space="preserve">, </w:t>
      </w:r>
      <w:r>
        <w:rPr>
          <w:u w:val="single"/>
        </w:rPr>
        <w:t>Caroline Wofford and HPL</w:t>
      </w:r>
      <w:r>
        <w:rPr/>
        <w:t>; The Plaintiffs seek to condemn a track of land to acquire an easement to widen State Highway 96.  Investigation revealed that HPL has no pipeline and apparently no easement in the subject property; HPL has agreed to give the State a quitclaim deed.</w:t>
      </w:r>
    </w:p>
    <w:p>
      <w:pPr>
        <w:pStyle w:val="Normal"/>
        <w:ind w:hanging="720" w:start="720" w:end="0"/>
        <w:jc w:val="both"/>
        <w:rPr/>
      </w:pPr>
      <w:r>
        <w:rPr/>
      </w:r>
    </w:p>
    <w:p>
      <w:pPr>
        <w:pStyle w:val="Normal"/>
        <w:numPr>
          <w:ilvl w:val="0"/>
          <w:numId w:val="3"/>
        </w:numPr>
        <w:tabs>
          <w:tab w:val="clear" w:pos="720"/>
        </w:tabs>
        <w:ind w:hanging="720" w:start="720" w:end="0"/>
        <w:jc w:val="both"/>
        <w:rPr/>
      </w:pPr>
      <w:r>
        <w:rPr/>
        <w:t xml:space="preserve">No. 1998-58066; </w:t>
      </w:r>
      <w:r>
        <w:rPr>
          <w:u w:val="single"/>
        </w:rPr>
        <w:t>Henry Taub, et al. v. EOG, HPL and HPL Resources</w:t>
      </w:r>
      <w:r>
        <w:rPr/>
        <w:t>; In the 80</w:t>
      </w:r>
      <w:r>
        <w:rPr>
          <w:vertAlign w:val="superscript"/>
        </w:rPr>
        <w:t>th</w:t>
      </w:r>
      <w:r>
        <w:rPr/>
        <w:t xml:space="preserve"> District Court of Harris County, Texas; Plaintiffs filed suit against HPL and HPLR for breach of contract, property damage, and trespass as a result of HPL’s alleged abandonment of certain gas wells on their property.</w:t>
      </w:r>
    </w:p>
    <w:p>
      <w:pPr>
        <w:pStyle w:val="Normal"/>
        <w:ind w:hanging="720" w:start="720" w:end="0"/>
        <w:jc w:val="both"/>
        <w:rPr/>
      </w:pPr>
      <w:r>
        <w:rPr/>
      </w:r>
    </w:p>
    <w:p>
      <w:pPr>
        <w:pStyle w:val="Normal"/>
        <w:numPr>
          <w:ilvl w:val="0"/>
          <w:numId w:val="3"/>
        </w:numPr>
        <w:tabs>
          <w:tab w:val="clear" w:pos="720"/>
        </w:tabs>
        <w:ind w:hanging="720" w:start="720" w:end="0"/>
        <w:jc w:val="both"/>
        <w:rPr/>
      </w:pPr>
      <w:r>
        <w:rPr/>
        <w:t xml:space="preserve">No. 4,135; </w:t>
      </w:r>
      <w:r>
        <w:rPr>
          <w:u w:val="single"/>
        </w:rPr>
        <w:t>Romeo Vela v. EOG and HPL</w:t>
      </w:r>
      <w:r>
        <w:rPr/>
        <w:t>; In the 49</w:t>
      </w:r>
      <w:r>
        <w:rPr>
          <w:vertAlign w:val="superscript"/>
        </w:rPr>
        <w:t>th</w:t>
      </w:r>
      <w:r>
        <w:rPr/>
        <w:t xml:space="preserve"> Judicial District Court of Zapata County, Texas; Plaintiffs allege that HPL and EOG conspired to defraud Plaintiffs of royalties due on certain gas wells.</w:t>
      </w:r>
    </w:p>
    <w:p>
      <w:pPr>
        <w:pStyle w:val="Normal"/>
        <w:ind w:hanging="720" w:start="720" w:end="0"/>
        <w:jc w:val="both"/>
        <w:rPr/>
      </w:pPr>
      <w:r>
        <w:rPr/>
      </w:r>
    </w:p>
    <w:p>
      <w:pPr>
        <w:pStyle w:val="Normal"/>
        <w:numPr>
          <w:ilvl w:val="0"/>
          <w:numId w:val="3"/>
        </w:numPr>
        <w:tabs>
          <w:tab w:val="clear" w:pos="720"/>
        </w:tabs>
        <w:ind w:hanging="720" w:start="720" w:end="0"/>
        <w:jc w:val="both"/>
        <w:rPr/>
      </w:pPr>
      <w:r>
        <w:rPr/>
        <w:t xml:space="preserve">MDL Court 99-MD-1293; </w:t>
      </w:r>
      <w:r>
        <w:rPr>
          <w:u w:val="single"/>
        </w:rPr>
        <w:t>United States of America ex rel. Jack Grynberg v. Enron Corp., et al</w:t>
      </w:r>
      <w:r>
        <w:rPr/>
        <w:t>. Plaintiff filed a qui tam suit alleging that HPL mis-measured gas taken from federal lands, thereby defrauding the United States of royalty payments.</w:t>
      </w:r>
    </w:p>
    <w:p>
      <w:pPr>
        <w:pStyle w:val="Normal"/>
        <w:ind w:hanging="720" w:start="720" w:end="0"/>
        <w:jc w:val="both"/>
        <w:rPr/>
      </w:pPr>
      <w:r>
        <w:rPr/>
      </w:r>
    </w:p>
    <w:p>
      <w:pPr>
        <w:pStyle w:val="Normal"/>
        <w:numPr>
          <w:ilvl w:val="0"/>
          <w:numId w:val="3"/>
        </w:numPr>
        <w:tabs>
          <w:tab w:val="clear" w:pos="720"/>
        </w:tabs>
        <w:ind w:hanging="720" w:start="720" w:end="0"/>
        <w:jc w:val="both"/>
        <w:rPr/>
      </w:pPr>
      <w:r>
        <w:rPr/>
        <w:t xml:space="preserve">No. 98-11410; </w:t>
      </w:r>
      <w:r>
        <w:rPr>
          <w:u w:val="single"/>
        </w:rPr>
        <w:t>C.C. Kilgore, et al. v. Scurlock Permian Corporation, Scurlock Permian, L.L.C. and HPL Resources Company</w:t>
      </w:r>
      <w:r>
        <w:rPr/>
        <w:t>; In the 165</w:t>
      </w:r>
      <w:r>
        <w:rPr>
          <w:vertAlign w:val="superscript"/>
        </w:rPr>
        <w:t>th</w:t>
      </w:r>
      <w:r>
        <w:rPr/>
        <w:t xml:space="preserve"> Judicial District Court of Harris County, Texas;  HPLR entered into a tolling agreement with plaintiffs and the matter was non-suited without prejudice, pending appeal of a separate action (not involving HPLR).  On June 12, 2000, following an unfavorable judgment in the separate action, plaintiffs filed a petition for review with the Texas Supreme Court. </w:t>
      </w:r>
    </w:p>
    <w:p>
      <w:pPr>
        <w:pStyle w:val="Normal"/>
        <w:ind w:hanging="720" w:start="720" w:end="0"/>
        <w:jc w:val="both"/>
        <w:rPr/>
      </w:pPr>
      <w:r>
        <w:rPr/>
      </w:r>
    </w:p>
    <w:p>
      <w:pPr>
        <w:pStyle w:val="Normal"/>
        <w:numPr>
          <w:ilvl w:val="0"/>
          <w:numId w:val="3"/>
        </w:numPr>
        <w:tabs>
          <w:tab w:val="clear" w:pos="720"/>
        </w:tabs>
        <w:ind w:hanging="720" w:start="720" w:end="0"/>
        <w:jc w:val="both"/>
        <w:rPr/>
      </w:pPr>
      <w:r>
        <w:rPr/>
        <w:t xml:space="preserve">No. 39774; </w:t>
      </w:r>
      <w:r>
        <w:rPr>
          <w:u w:val="single"/>
        </w:rPr>
        <w:t>A. J. Collins and Jewell Collins v. IP Petroleum Company, Inc., et al</w:t>
      </w:r>
      <w:r>
        <w:rPr/>
        <w:t>; In the 356</w:t>
      </w:r>
      <w:r>
        <w:rPr>
          <w:vertAlign w:val="superscript"/>
        </w:rPr>
        <w:t>th</w:t>
      </w:r>
      <w:r>
        <w:rPr/>
        <w:t xml:space="preserve"> Judicial District Court of Hardin County, Texas.  Plaintiffs claim that HPL left a large valve on the site and that the valve was leaking gas into the air.  Plaintiffs seek a declaratory judgment, injunctive relief, and damages for trespass.</w:t>
      </w:r>
    </w:p>
    <w:p>
      <w:pPr>
        <w:pStyle w:val="Normal"/>
        <w:ind w:hanging="720" w:start="720" w:end="0"/>
        <w:jc w:val="both"/>
        <w:rPr/>
      </w:pPr>
      <w:r>
        <w:rPr/>
      </w:r>
    </w:p>
    <w:p>
      <w:pPr>
        <w:pStyle w:val="Normal"/>
        <w:numPr>
          <w:ilvl w:val="0"/>
          <w:numId w:val="3"/>
        </w:numPr>
        <w:tabs>
          <w:tab w:val="clear" w:pos="720"/>
        </w:tabs>
        <w:ind w:hanging="720" w:start="720" w:end="0"/>
        <w:jc w:val="both"/>
        <w:rPr/>
      </w:pPr>
      <w:r>
        <w:rPr/>
        <w:t xml:space="preserve">No. 35925; </w:t>
      </w:r>
      <w:r>
        <w:rPr>
          <w:u w:val="single"/>
        </w:rPr>
        <w:t>Mustang Exploration Company v. HPL</w:t>
      </w:r>
      <w:r>
        <w:rPr/>
        <w:t>; In the 23</w:t>
      </w:r>
      <w:r>
        <w:rPr>
          <w:vertAlign w:val="superscript"/>
        </w:rPr>
        <w:t>rd</w:t>
      </w:r>
      <w:r>
        <w:rPr/>
        <w:t xml:space="preserve"> Judicial District Court of Wharton County, Texas.  Plaintiff acquired land that was under a lease and easement agreement.  Plaintiff claims HPL has refused to provide gas to Plaintiff according to the terms of the agreement.</w:t>
      </w:r>
    </w:p>
    <w:p>
      <w:pPr>
        <w:pStyle w:val="Normal"/>
        <w:ind w:hanging="720" w:start="720" w:end="0"/>
        <w:jc w:val="both"/>
        <w:rPr/>
      </w:pPr>
      <w:r>
        <w:rPr/>
      </w:r>
    </w:p>
    <w:p>
      <w:pPr>
        <w:pStyle w:val="Normal"/>
        <w:numPr>
          <w:ilvl w:val="0"/>
          <w:numId w:val="3"/>
        </w:numPr>
        <w:tabs>
          <w:tab w:val="clear" w:pos="720"/>
        </w:tabs>
        <w:ind w:hanging="720" w:start="720" w:end="0"/>
        <w:jc w:val="both"/>
        <w:rPr/>
      </w:pPr>
      <w:r>
        <w:rPr>
          <w:u w:val="single"/>
        </w:rPr>
        <w:t>In re The Daniels Corporation Chapter 7 Bankruptcy Proceeding</w:t>
      </w:r>
      <w:r>
        <w:rPr/>
        <w:t>; No. 9933776H17; U. S. Bankruptcy Court, S.D. of Texas, Houston Division; The Daniels Corporation filed a Chapter 7 Bankruptcy.  HPL is a creditor.  A proof of claim was filed on behalf of HPL on December 17, 1999.</w:t>
      </w:r>
    </w:p>
    <w:p>
      <w:pPr>
        <w:pStyle w:val="Normal"/>
        <w:ind w:hanging="720" w:start="720" w:end="0"/>
        <w:jc w:val="both"/>
        <w:rPr/>
      </w:pPr>
      <w:r>
        <w:rPr/>
      </w:r>
    </w:p>
    <w:p>
      <w:pPr>
        <w:pStyle w:val="Normal"/>
        <w:numPr>
          <w:ilvl w:val="0"/>
          <w:numId w:val="3"/>
        </w:numPr>
        <w:tabs>
          <w:tab w:val="clear" w:pos="720"/>
        </w:tabs>
        <w:ind w:hanging="720" w:start="720" w:end="0"/>
        <w:jc w:val="both"/>
        <w:rPr/>
      </w:pPr>
      <w:r>
        <w:rPr/>
        <w:t xml:space="preserve">No. 2-10,318; </w:t>
      </w:r>
      <w:r>
        <w:rPr>
          <w:u w:val="single"/>
        </w:rPr>
        <w:t>K&amp;N Perforators, Inc. v. PH Exploration Inc. and HPL, Garnishee</w:t>
      </w:r>
      <w:r>
        <w:rPr/>
        <w:t>; In the County Court at Law, Number 2, Victoria County, Texas; This is a post-judgment garnishment filed by K&amp;N  Perforators.  KN holds a judgment against PH Exploration and has alleged that HPL holds funds and/or other property of PH.  Plaintiff seeks $12,575.90, together with interest, costs and post-judgment interest at the rate of 10% per year.</w:t>
      </w:r>
    </w:p>
    <w:p>
      <w:pPr>
        <w:pStyle w:val="Header"/>
        <w:tabs>
          <w:tab w:val="clear" w:pos="4680"/>
          <w:tab w:val="clear" w:pos="9360"/>
        </w:tabs>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4.12</w:t>
      </w:r>
    </w:p>
    <w:p>
      <w:pPr>
        <w:pStyle w:val="Normal"/>
        <w:jc w:val="center"/>
        <w:rPr/>
      </w:pPr>
      <w:r>
        <w:rPr/>
        <w:t>Title</w:t>
      </w:r>
    </w:p>
    <w:p>
      <w:pPr>
        <w:pStyle w:val="Normal"/>
        <w:jc w:val="center"/>
        <w:rPr/>
      </w:pPr>
      <w:r>
        <w:rPr/>
      </w:r>
    </w:p>
    <w:p>
      <w:pPr>
        <w:pStyle w:val="Normal"/>
        <w:jc w:val="both"/>
        <w:rPr/>
      </w:pPr>
      <w:r>
        <w:rPr/>
      </w:r>
    </w:p>
    <w:p>
      <w:pPr>
        <w:pStyle w:val="Normal"/>
        <w:jc w:val="both"/>
        <w:rPr/>
      </w:pPr>
      <w:r>
        <w:rPr/>
        <w:t>The Excluded Assets will be transferred or assigned by Houston Pipe Line Company to Seller or one or more affiliates of Seller (or, with respect to certain subsidiaries associated with certain monetizations that will be unwound, dissolved) after the Balance Sheet Date and prior to Closing.</w:t>
      </w:r>
      <w:r>
        <w:br w:type="page"/>
      </w:r>
    </w:p>
    <w:p>
      <w:pPr>
        <w:pStyle w:val="Normal"/>
        <w:jc w:val="center"/>
        <w:rPr/>
      </w:pPr>
      <w:r>
        <w:rPr/>
        <w:t>PURCHASE AND SALE AGREEMENT</w:t>
      </w:r>
    </w:p>
    <w:p>
      <w:pPr>
        <w:pStyle w:val="Normal"/>
        <w:jc w:val="center"/>
        <w:rPr/>
      </w:pPr>
      <w:r>
        <w:rPr/>
      </w:r>
    </w:p>
    <w:p>
      <w:pPr>
        <w:pStyle w:val="Normal"/>
        <w:jc w:val="center"/>
        <w:rPr/>
      </w:pPr>
      <w:r>
        <w:rPr/>
        <w:t>Schedule 4.13</w:t>
      </w:r>
    </w:p>
    <w:p>
      <w:pPr>
        <w:pStyle w:val="Normal"/>
        <w:jc w:val="center"/>
        <w:rPr/>
      </w:pPr>
      <w:r>
        <w:rPr/>
        <w:t>Material Contracts</w:t>
      </w:r>
    </w:p>
    <w:p>
      <w:pPr>
        <w:pStyle w:val="Normal"/>
        <w:jc w:val="center"/>
        <w:rPr/>
      </w:pPr>
      <w:r>
        <w:rPr/>
      </w:r>
    </w:p>
    <w:p>
      <w:pPr>
        <w:pStyle w:val="Normal"/>
        <w:jc w:val="center"/>
        <w:rPr/>
      </w:pPr>
      <w:r>
        <w:rPr/>
      </w:r>
    </w:p>
    <w:p>
      <w:pPr>
        <w:pStyle w:val="Normal"/>
        <w:tabs>
          <w:tab w:val="clear" w:pos="720"/>
          <w:tab w:val="left" w:pos="1080" w:leader="none"/>
        </w:tabs>
        <w:ind w:hanging="720" w:start="720" w:end="0"/>
        <w:jc w:val="both"/>
        <w:rPr/>
      </w:pPr>
      <w:r>
        <w:rPr/>
        <w:t>(i)</w:t>
        <w:tab/>
        <w:t>1.</w:t>
        <w:tab/>
        <w:t>Measurement and Associated Services Agreement effective as of September 30, 1999 between Houston Pipe Line Company (“HPL”) and Meter Acquisition Company LP,  LLLP.</w:t>
      </w:r>
    </w:p>
    <w:p>
      <w:pPr>
        <w:pStyle w:val="Normal"/>
        <w:ind w:start="720" w:end="0"/>
        <w:jc w:val="both"/>
        <w:rPr/>
      </w:pPr>
      <w:r>
        <w:rPr/>
      </w:r>
    </w:p>
    <w:p>
      <w:pPr>
        <w:pStyle w:val="Normal"/>
        <w:tabs>
          <w:tab w:val="clear" w:pos="720"/>
          <w:tab w:val="left" w:pos="1080" w:leader="none"/>
        </w:tabs>
        <w:ind w:start="720" w:end="0"/>
        <w:jc w:val="both"/>
        <w:rPr/>
      </w:pPr>
      <w:r>
        <w:rPr/>
        <w:t>2.</w:t>
        <w:tab/>
        <w:t>Compression Management Agreement dated as of September 30, 1997 between Hanover Compressor Company and HPL, as amended by a 1</w:t>
      </w:r>
      <w:r>
        <w:rPr>
          <w:vertAlign w:val="superscript"/>
        </w:rPr>
        <w:t>st</w:t>
      </w:r>
      <w:r>
        <w:rPr/>
        <w:t xml:space="preserve"> Amendment dated effective March 1, 1998, by a 2</w:t>
      </w:r>
      <w:r>
        <w:rPr>
          <w:vertAlign w:val="superscript"/>
        </w:rPr>
        <w:t>nd</w:t>
      </w:r>
      <w:r>
        <w:rPr/>
        <w:t xml:space="preserve"> Amendment dated effective March 1, 1998, by a 3</w:t>
      </w:r>
      <w:r>
        <w:rPr>
          <w:vertAlign w:val="superscript"/>
        </w:rPr>
        <w:t>rd</w:t>
      </w:r>
      <w:r>
        <w:rPr/>
        <w:t xml:space="preserve"> Amendment dated effective April 1, 1999 and by a 4</w:t>
      </w:r>
      <w:r>
        <w:rPr>
          <w:vertAlign w:val="superscript"/>
        </w:rPr>
        <w:t>th</w:t>
      </w:r>
      <w:r>
        <w:rPr/>
        <w:t xml:space="preserve"> Amendment dated effective March 31, 2000.</w:t>
      </w:r>
    </w:p>
    <w:p>
      <w:pPr>
        <w:pStyle w:val="Normal"/>
        <w:ind w:start="720" w:end="0"/>
        <w:jc w:val="both"/>
        <w:rPr/>
      </w:pPr>
      <w:r>
        <w:rPr/>
      </w:r>
    </w:p>
    <w:p>
      <w:pPr>
        <w:pStyle w:val="Normal"/>
        <w:ind w:start="720" w:end="0"/>
        <w:jc w:val="both"/>
        <w:rPr/>
      </w:pPr>
      <w:r>
        <w:rPr/>
        <w:t>See also responses listed in (ii), (v), (vi) and (vii) below.</w:t>
      </w:r>
    </w:p>
    <w:p>
      <w:pPr>
        <w:pStyle w:val="Normal"/>
        <w:ind w:start="1080" w:end="0"/>
        <w:jc w:val="both"/>
        <w:rPr/>
      </w:pPr>
      <w:r>
        <w:rPr/>
      </w:r>
    </w:p>
    <w:p>
      <w:pPr>
        <w:pStyle w:val="BodyTextIndent2"/>
        <w:tabs>
          <w:tab w:val="clear" w:pos="1080"/>
          <w:tab w:val="left" w:pos="720" w:leader="none"/>
        </w:tabs>
        <w:ind w:hanging="720" w:start="720" w:end="0"/>
        <w:jc w:val="both"/>
        <w:rPr/>
      </w:pPr>
      <w:r>
        <w:rPr/>
        <w:t>(ii)</w:t>
        <w:tab/>
        <w:t>Lease Agreement effective November 10, 1999 between HPL Asset Holdings L.P. as Lessor and Houston Pipe Line Company as Lessee.  This Lease Agreement will be assigned by Houston Pipe Line Company (“HPL”) to a newly formed subsidiary of the Seller (“Leasco”) prior to the Closing, and a new Sublease in the form of Exhibit 3.2(e) between Leaseco and HPL will be entered into.</w:t>
      </w:r>
    </w:p>
    <w:p>
      <w:pPr>
        <w:pStyle w:val="Normal"/>
        <w:tabs>
          <w:tab w:val="clear" w:pos="720"/>
          <w:tab w:val="left" w:pos="1080" w:leader="none"/>
        </w:tabs>
        <w:ind w:start="360" w:end="0"/>
        <w:jc w:val="both"/>
        <w:rPr/>
      </w:pPr>
      <w:r>
        <w:rPr/>
      </w:r>
    </w:p>
    <w:p>
      <w:pPr>
        <w:pStyle w:val="Header"/>
        <w:tabs>
          <w:tab w:val="clear" w:pos="4680"/>
          <w:tab w:val="clear" w:pos="9360"/>
          <w:tab w:val="left" w:pos="720" w:leader="none"/>
        </w:tabs>
        <w:jc w:val="both"/>
        <w:rPr/>
      </w:pPr>
      <w:r>
        <w:rPr/>
        <w:t>(iii)</w:t>
        <w:tab/>
        <w:t>[TO COME]</w:t>
      </w:r>
    </w:p>
    <w:p>
      <w:pPr>
        <w:pStyle w:val="Normal"/>
        <w:tabs>
          <w:tab w:val="clear" w:pos="720"/>
          <w:tab w:val="left" w:pos="1080" w:leader="none"/>
        </w:tabs>
        <w:ind w:start="360" w:end="0"/>
        <w:jc w:val="both"/>
        <w:rPr/>
      </w:pPr>
      <w:r>
        <w:rPr/>
      </w:r>
    </w:p>
    <w:p>
      <w:pPr>
        <w:pStyle w:val="Normal"/>
        <w:tabs>
          <w:tab w:val="left" w:pos="720" w:leader="none"/>
        </w:tabs>
        <w:jc w:val="both"/>
        <w:rPr/>
      </w:pPr>
      <w:r>
        <w:rPr/>
        <w:t>(iv)</w:t>
        <w:tab/>
        <w:t>None.</w:t>
      </w:r>
    </w:p>
    <w:p>
      <w:pPr>
        <w:pStyle w:val="Normal"/>
        <w:tabs>
          <w:tab w:val="clear" w:pos="720"/>
          <w:tab w:val="left" w:pos="1080" w:leader="none"/>
        </w:tabs>
        <w:ind w:start="360" w:end="0"/>
        <w:jc w:val="both"/>
        <w:rPr/>
      </w:pPr>
      <w:r>
        <w:rPr/>
      </w:r>
    </w:p>
    <w:p>
      <w:pPr>
        <w:pStyle w:val="Normal"/>
        <w:jc w:val="both"/>
        <w:rPr/>
      </w:pPr>
      <w:r>
        <w:rPr/>
        <w:t>(v)</w:t>
        <w:tab/>
      </w:r>
      <w:r>
        <w:rPr>
          <w:i/>
        </w:rPr>
        <w:t>The following sets forth those gas purchase and gas sales agreements with a term extending beyond October 1, 2001 and delivery of greater than 15,499 Mmbtu/d, together with, to the best of Seller’s knowledge, the amendments applicable thereto.</w:t>
      </w:r>
    </w:p>
    <w:p>
      <w:pPr>
        <w:pStyle w:val="Normal"/>
        <w:jc w:val="both"/>
        <w:rPr>
          <w:i/>
          <w:i/>
        </w:rPr>
      </w:pPr>
      <w:r>
        <w:rPr>
          <w:i/>
        </w:rPr>
      </w:r>
    </w:p>
    <w:p>
      <w:pPr>
        <w:pStyle w:val="Heading2"/>
        <w:ind w:hanging="0" w:start="720" w:end="0"/>
        <w:rPr/>
      </w:pPr>
      <w:r>
        <w:rPr/>
        <w:t>Purchases</w:t>
      </w:r>
    </w:p>
    <w:p>
      <w:pPr>
        <w:pStyle w:val="Normal"/>
        <w:ind w:start="720" w:end="0"/>
        <w:rPr>
          <w:sz w:val="28"/>
        </w:rPr>
      </w:pPr>
      <w:r>
        <w:rPr>
          <w:sz w:val="28"/>
        </w:rPr>
      </w:r>
    </w:p>
    <w:p>
      <w:pPr>
        <w:pStyle w:val="Normal"/>
        <w:numPr>
          <w:ilvl w:val="0"/>
          <w:numId w:val="5"/>
        </w:numPr>
        <w:tabs>
          <w:tab w:val="clear" w:pos="720"/>
          <w:tab w:val="left" w:pos="810" w:leader="none"/>
        </w:tabs>
        <w:ind w:hanging="0" w:start="720" w:end="0"/>
        <w:jc w:val="both"/>
        <w:rPr/>
      </w:pPr>
      <w:r>
        <w:rPr/>
        <w:t>That certain Enfolio Gas Purchase Agreement (Reserves Committed/Index Pricing/Flexible Pricing) dated August 1, 1998 between C &amp; E Operating, Inc. and Houston Pipe Line Company, as amended by Amendment effective September 1, 1999.</w:t>
      </w:r>
    </w:p>
    <w:p>
      <w:pPr>
        <w:pStyle w:val="Normal"/>
        <w:tabs>
          <w:tab w:val="clear" w:pos="720"/>
          <w:tab w:val="left" w:pos="810" w:leader="none"/>
        </w:tabs>
        <w:ind w:start="720" w:end="0"/>
        <w:jc w:val="both"/>
        <w:rPr/>
      </w:pPr>
      <w:r>
        <w:rPr/>
      </w:r>
    </w:p>
    <w:p>
      <w:pPr>
        <w:pStyle w:val="Normal"/>
        <w:numPr>
          <w:ilvl w:val="0"/>
          <w:numId w:val="5"/>
        </w:numPr>
        <w:tabs>
          <w:tab w:val="clear" w:pos="720"/>
          <w:tab w:val="left" w:pos="810" w:leader="none"/>
        </w:tabs>
        <w:ind w:hanging="0" w:start="720" w:end="0"/>
        <w:jc w:val="both"/>
        <w:rPr/>
      </w:pPr>
      <w:r>
        <w:rPr/>
        <w:t xml:space="preserve">That certain Gas Purchase Agreement dated November 24, 1992 between Comstock Oil &amp; Gas, Inc. (assignee of Black Stone Oil Company, et al) and Houston Pipe Line Company, (assignee of HPL Resources Company, successor to Natural Gas Marketing &amp; Storage Company) as amended and restated effective July 1, 1995 together with the Amendment </w:t>
        <w:tab/>
        <w:t>dated June 1, 2000.</w:t>
      </w:r>
    </w:p>
    <w:p>
      <w:pPr>
        <w:pStyle w:val="Normal"/>
        <w:tabs>
          <w:tab w:val="clear" w:pos="720"/>
          <w:tab w:val="left" w:pos="810" w:leader="none"/>
        </w:tabs>
        <w:ind w:start="720" w:end="0"/>
        <w:jc w:val="both"/>
        <w:rPr/>
      </w:pPr>
      <w:r>
        <w:rPr/>
      </w:r>
    </w:p>
    <w:p>
      <w:pPr>
        <w:pStyle w:val="Normal"/>
        <w:numPr>
          <w:ilvl w:val="0"/>
          <w:numId w:val="5"/>
        </w:numPr>
        <w:tabs>
          <w:tab w:val="clear" w:pos="720"/>
          <w:tab w:val="left" w:pos="810" w:leader="none"/>
        </w:tabs>
        <w:ind w:hanging="0" w:start="720" w:end="0"/>
        <w:jc w:val="both"/>
        <w:rPr/>
      </w:pPr>
      <w:r>
        <w:rPr/>
        <w:t>That certain Gas Purchase Agreement (Reserves Committed/Index Pricing) dated June 1, 1995 between Conoco, Inc. and Houston Pipe Line Company (assignee of HPL Resources Company).</w:t>
      </w:r>
    </w:p>
    <w:p>
      <w:pPr>
        <w:pStyle w:val="BodyTextIndent"/>
        <w:tabs>
          <w:tab w:val="clear" w:pos="720"/>
          <w:tab w:val="left" w:pos="810" w:leader="none"/>
        </w:tabs>
        <w:ind w:start="720" w:end="0"/>
        <w:rPr/>
      </w:pPr>
      <w:r>
        <w:rPr/>
      </w:r>
    </w:p>
    <w:p>
      <w:pPr>
        <w:pStyle w:val="BodyTextIndent"/>
        <w:numPr>
          <w:ilvl w:val="0"/>
          <w:numId w:val="8"/>
        </w:numPr>
        <w:ind w:hanging="0" w:start="720" w:end="0"/>
        <w:rPr/>
      </w:pPr>
      <w:r>
        <w:rPr/>
        <w:t>That certain Gas Purchase Agreement (Reserves Committed/Index Pricing) dated April 1, 1999 between Suemaur Exploration &amp; Production, L.L.C., and Houston Pipe Line Company, as amended by Amendment effective April 1, 2000.</w:t>
      </w:r>
    </w:p>
    <w:p>
      <w:pPr>
        <w:pStyle w:val="BodyTextIndent"/>
        <w:ind w:start="720" w:end="0"/>
        <w:rPr/>
      </w:pPr>
      <w:r>
        <w:rPr/>
      </w:r>
    </w:p>
    <w:p>
      <w:pPr>
        <w:pStyle w:val="BodyTextIndent"/>
        <w:numPr>
          <w:ilvl w:val="0"/>
          <w:numId w:val="8"/>
        </w:numPr>
        <w:ind w:hanging="0" w:start="720" w:end="0"/>
        <w:rPr/>
      </w:pPr>
      <w:r>
        <w:rPr/>
        <w:t>That certain Enfolio Gas Purchase Agreement (Reserves Committed/Index Pricing) dated September 1, 1999 between Dominion Exploration &amp; Production, Inc. (formerly CNG Producing Company) and Houston Pipe Line Company.</w:t>
      </w:r>
    </w:p>
    <w:p>
      <w:pPr>
        <w:pStyle w:val="Normal"/>
        <w:ind w:start="720" w:end="0"/>
        <w:rPr/>
      </w:pPr>
      <w:r>
        <w:rPr/>
      </w:r>
    </w:p>
    <w:p>
      <w:pPr>
        <w:pStyle w:val="Normal"/>
        <w:numPr>
          <w:ilvl w:val="0"/>
          <w:numId w:val="8"/>
        </w:numPr>
        <w:ind w:hanging="0" w:start="720" w:end="0"/>
        <w:rPr/>
      </w:pPr>
      <w:r>
        <w:rPr/>
        <w:t>That certain Gas Purchase Agreement dated March 1, 1988 between El Paso Production Company (assignee of Sonat Exploration Company, successor to Enron Oil &amp; Gas Company) and Houston Pipe Line Company (assignee of HPL Resources Company, successor to Natural Gas Marketing &amp; Storage Company) as amended by Amendments dated September 20, 1990, January 1, 1991, July 1, 1992, January 1, 1993, October 1, 1993, and April 1, 1995.</w:t>
      </w:r>
    </w:p>
    <w:p>
      <w:pPr>
        <w:pStyle w:val="Normal"/>
        <w:ind w:start="720" w:end="0"/>
        <w:rPr/>
      </w:pPr>
      <w:r>
        <w:rPr/>
      </w:r>
    </w:p>
    <w:p>
      <w:pPr>
        <w:pStyle w:val="Normal"/>
        <w:numPr>
          <w:ilvl w:val="0"/>
          <w:numId w:val="8"/>
        </w:numPr>
        <w:ind w:hanging="0" w:start="720" w:end="0"/>
        <w:rPr/>
      </w:pPr>
      <w:r>
        <w:rPr/>
        <w:t>That certain Gas Purchase Agreement dated March 1, 1988 between EOG Resources, Inc. (assignee of Enron Oil &amp; Gas Company) and Houston Pipe Line Company (assignee of HPL Resources Company, successor to Natural Gas Marketing &amp; Storage Company) as amended by Amendments dated September 20, 1990, January 1, 1991, July 1, 1992, January 1, 1993, October 1, 1993, April 1, 1995, June 1, 1995, December 1, 1995, May 1, 1997, July 1, 1997, October 1, 1997, and December 1, 1997.</w:t>
      </w:r>
    </w:p>
    <w:p>
      <w:pPr>
        <w:pStyle w:val="Normal"/>
        <w:ind w:start="720" w:end="0"/>
        <w:rPr/>
      </w:pPr>
      <w:r>
        <w:rPr/>
      </w:r>
    </w:p>
    <w:p>
      <w:pPr>
        <w:pStyle w:val="Normal"/>
        <w:numPr>
          <w:ilvl w:val="0"/>
          <w:numId w:val="8"/>
        </w:numPr>
        <w:ind w:hanging="0" w:start="720" w:end="0"/>
        <w:rPr/>
      </w:pPr>
      <w:r>
        <w:rPr/>
        <w:t xml:space="preserve">That certain Gas Purchase Agreement dated January 8, 1988 between Enron Oil &amp; Gas Company and Houston Pipe Line Company (assignee of HPL Resources Company, successor to Natural Gas Marketing &amp; Storage Company) as amended by Amendments dated January 1, 1988, October 1, 1988, June 6, 1989, September 20, 1990, March 1, 1992, June 1, 1992, January 29, 1993, July 1, 1993, June 1, 1994, December 1, 1994, March 28, 1995, June 1, 1995, June 1, 1996, July 1, 1997, and December 1, 1997.    </w:t>
      </w:r>
    </w:p>
    <w:p>
      <w:pPr>
        <w:pStyle w:val="Normal"/>
        <w:ind w:start="720" w:end="0"/>
        <w:rPr/>
      </w:pPr>
      <w:r>
        <w:rPr/>
      </w:r>
    </w:p>
    <w:p>
      <w:pPr>
        <w:pStyle w:val="Normal"/>
        <w:numPr>
          <w:ilvl w:val="0"/>
          <w:numId w:val="8"/>
        </w:numPr>
        <w:ind w:hanging="0" w:start="720" w:end="0"/>
        <w:rPr/>
      </w:pPr>
      <w:r>
        <w:rPr/>
        <w:t>That certain Enfolio Gas Purchase Agreement (Reserves Committed/Index Pricing) dated March 1, 1998 between Costilla Energy, Inc. and Houston Pipe Line Company, as amended by Amendments dated May 1, 1998 and March 1, 1999.</w:t>
      </w:r>
    </w:p>
    <w:p>
      <w:pPr>
        <w:pStyle w:val="Normal"/>
        <w:ind w:start="720" w:end="0"/>
        <w:rPr/>
      </w:pPr>
      <w:r>
        <w:rPr/>
      </w:r>
    </w:p>
    <w:p>
      <w:pPr>
        <w:pStyle w:val="Normal"/>
        <w:numPr>
          <w:ilvl w:val="0"/>
          <w:numId w:val="8"/>
        </w:numPr>
        <w:ind w:hanging="0" w:start="720" w:end="0"/>
        <w:rPr/>
      </w:pPr>
      <w:r>
        <w:rPr/>
        <w:t xml:space="preserve">That certain Enfolio Gas Purchase Agreement (Reserves Committed/Index Pricing) dated October 1, 1999 between North Central Oil Corporation and Houston Pipe Line Company, as amended by Amendment dated April 1, 2000. </w:t>
      </w:r>
    </w:p>
    <w:p>
      <w:pPr>
        <w:pStyle w:val="Normal"/>
        <w:ind w:start="720" w:end="0"/>
        <w:rPr/>
      </w:pPr>
      <w:r>
        <w:rPr/>
      </w:r>
    </w:p>
    <w:p>
      <w:pPr>
        <w:pStyle w:val="Normal"/>
        <w:numPr>
          <w:ilvl w:val="0"/>
          <w:numId w:val="8"/>
        </w:numPr>
        <w:ind w:hanging="0" w:start="720" w:end="0"/>
        <w:rPr/>
      </w:pPr>
      <w:r>
        <w:rPr/>
        <w:t>That certain Gas Purchase Agreement dated December 1, 1996 between Sun Operating Limited Partners and Houston Pipe Line Company (assignee of HPL Resources Company), as amended by Amendment dated June 1, 2000.</w:t>
      </w:r>
    </w:p>
    <w:p>
      <w:pPr>
        <w:pStyle w:val="Normal"/>
        <w:ind w:start="720" w:end="0"/>
        <w:rPr/>
      </w:pPr>
      <w:r>
        <w:rPr/>
      </w:r>
    </w:p>
    <w:p>
      <w:pPr>
        <w:pStyle w:val="Normal"/>
        <w:numPr>
          <w:ilvl w:val="0"/>
          <w:numId w:val="8"/>
        </w:numPr>
        <w:ind w:hanging="0" w:start="720" w:end="0"/>
        <w:rPr/>
      </w:pPr>
      <w:r>
        <w:rPr/>
        <w:t>That certain Enfolio Gas Purchase Agreement (Reserves Committed/Index Pricing) Offshore Waters dated July 1, 2000 between Spinnaker Exploration Company, L.L.C. and Houston Pipe Line Company together with Condensate Services Agreement dated effective July 21, 2000.</w:t>
      </w:r>
    </w:p>
    <w:p>
      <w:pPr>
        <w:pStyle w:val="BodyTextIndent"/>
        <w:ind w:start="720" w:end="0"/>
        <w:rPr/>
      </w:pPr>
      <w:r>
        <w:rPr/>
      </w:r>
    </w:p>
    <w:p>
      <w:pPr>
        <w:pStyle w:val="BodyTextIndent"/>
        <w:ind w:start="720" w:end="0"/>
        <w:rPr>
          <w:b/>
        </w:rPr>
      </w:pPr>
      <w:r>
        <w:rPr>
          <w:b/>
        </w:rPr>
        <w:t>SALES</w:t>
      </w:r>
    </w:p>
    <w:p>
      <w:pPr>
        <w:pStyle w:val="BodyTextIndent"/>
        <w:ind w:start="720" w:end="0"/>
        <w:rPr>
          <w:b/>
        </w:rPr>
      </w:pPr>
      <w:r>
        <w:rPr>
          <w:b/>
        </w:rPr>
      </w:r>
    </w:p>
    <w:p>
      <w:pPr>
        <w:pStyle w:val="BodyTextIndent"/>
        <w:numPr>
          <w:ilvl w:val="0"/>
          <w:numId w:val="8"/>
        </w:numPr>
        <w:ind w:hanging="0" w:start="720" w:end="0"/>
        <w:rPr/>
      </w:pPr>
      <w:r>
        <w:rPr/>
        <w:t>That certain Enfolio Master Firm Purchase/Sale Agreement dated March 31, 1998 between Calpine Fuels Texas, Corporation and Houston Pipe Line Company (assignee of Enron Capital &amp; Trade Resources Corp.) and applicable Transactions Agreements.</w:t>
      </w:r>
    </w:p>
    <w:p>
      <w:pPr>
        <w:pStyle w:val="BodyTextIndent"/>
        <w:ind w:start="720" w:end="0"/>
        <w:rPr/>
      </w:pPr>
      <w:r>
        <w:rPr/>
      </w:r>
    </w:p>
    <w:p>
      <w:pPr>
        <w:pStyle w:val="BodyTextIndent"/>
        <w:numPr>
          <w:ilvl w:val="0"/>
          <w:numId w:val="8"/>
        </w:numPr>
        <w:ind w:hanging="0" w:start="720" w:end="0"/>
        <w:rPr/>
      </w:pPr>
      <w:r>
        <w:rPr/>
        <w:t>That certain Gas Sales Agreement For Delivery of Gas at Meter No. 1424 dated December 1, 1995 between Calpine Fuels Texas, Corporation (assignee of DEI Texas, Inc.) and Houston Pipe Line Company (assignee of Enron Capital &amp; Trade Resources Corp.) as amended by Amendment dated June 23, 1997.</w:t>
      </w:r>
    </w:p>
    <w:p>
      <w:pPr>
        <w:pStyle w:val="BodyTextIndent"/>
        <w:ind w:start="720" w:end="0"/>
        <w:rPr/>
      </w:pPr>
      <w:r>
        <w:rPr/>
      </w:r>
    </w:p>
    <w:p>
      <w:pPr>
        <w:pStyle w:val="BodyTextIndent"/>
        <w:numPr>
          <w:ilvl w:val="0"/>
          <w:numId w:val="8"/>
        </w:numPr>
        <w:ind w:hanging="0" w:start="720" w:end="0"/>
        <w:rPr/>
      </w:pPr>
      <w:r>
        <w:rPr/>
        <w:t xml:space="preserve">That certain Enfolio Firm Confirmation-Enfolio Firm General Terms and Conditions dated March 23, 2000 between Central Power and Light Company and Enron North America Corp. </w:t>
      </w:r>
    </w:p>
    <w:p>
      <w:pPr>
        <w:pStyle w:val="BodyTextIndent"/>
        <w:ind w:start="720" w:end="0"/>
        <w:rPr/>
      </w:pPr>
      <w:r>
        <w:rPr/>
      </w:r>
    </w:p>
    <w:p>
      <w:pPr>
        <w:pStyle w:val="BodyTextIndent"/>
        <w:numPr>
          <w:ilvl w:val="0"/>
          <w:numId w:val="8"/>
        </w:numPr>
        <w:ind w:hanging="0" w:start="720" w:end="0"/>
        <w:rPr/>
      </w:pPr>
      <w:r>
        <w:rPr/>
        <w:t>That certain Enfolio Master Firm Purchase/Sale Agreement dated September 1, 1996 between Houston Lighting &amp; Power Company and Houston Pipe Line Company (assignee of HPL Resources Company) and applicable Transaction Agreements.</w:t>
      </w:r>
    </w:p>
    <w:p>
      <w:pPr>
        <w:pStyle w:val="BodyTextIndent"/>
        <w:ind w:start="720" w:end="0"/>
        <w:rPr/>
      </w:pPr>
      <w:r>
        <w:rPr/>
      </w:r>
    </w:p>
    <w:p>
      <w:pPr>
        <w:pStyle w:val="BodyTextIndent"/>
        <w:numPr>
          <w:ilvl w:val="0"/>
          <w:numId w:val="8"/>
        </w:numPr>
        <w:ind w:hanging="0" w:start="720" w:end="0"/>
        <w:rPr/>
      </w:pPr>
      <w:r>
        <w:rPr/>
        <w:t>That certain Enfolio Master Firm Purchase/Sale Agreement dated October 1, 1995 between Mobil Oil Corporation and Houston Pipe Line Company (assignee of Enron Capital &amp; Trade Resources Corp.) and applicable Transaction Agreements.</w:t>
      </w:r>
    </w:p>
    <w:p>
      <w:pPr>
        <w:pStyle w:val="BodyTextIndent"/>
        <w:ind w:start="720" w:end="0"/>
        <w:rPr/>
      </w:pPr>
      <w:r>
        <w:rPr/>
      </w:r>
    </w:p>
    <w:p>
      <w:pPr>
        <w:pStyle w:val="BodyTextIndent"/>
        <w:numPr>
          <w:ilvl w:val="0"/>
          <w:numId w:val="8"/>
        </w:numPr>
        <w:ind w:hanging="0" w:start="720" w:end="0"/>
        <w:rPr/>
      </w:pPr>
      <w:r>
        <w:rPr/>
        <w:t>That certain Enfolio Master Firm Purchase/Sale Agreement dated April 1, 1999 between Entex, a division of NorAm Corp., and Enron North America Corp. and applicable Transaction Agreements.</w:t>
      </w:r>
    </w:p>
    <w:p>
      <w:pPr>
        <w:pStyle w:val="BodyTextIndent"/>
        <w:ind w:start="720" w:end="0"/>
        <w:rPr/>
      </w:pPr>
      <w:r>
        <w:rPr/>
      </w:r>
    </w:p>
    <w:p>
      <w:pPr>
        <w:pStyle w:val="BodyTextIndent"/>
        <w:numPr>
          <w:ilvl w:val="0"/>
          <w:numId w:val="8"/>
        </w:numPr>
        <w:ind w:hanging="0" w:start="720" w:end="0"/>
        <w:rPr/>
      </w:pPr>
      <w:r>
        <w:rPr/>
        <w:t>That certain Enfolio Master Firm Purchase/Sale Agreement dated May 1, 1995 between Entex, a division of NorAm Corp., and Enron North America Corp. (assignee of HPL Resources Company) and applicable Transaction Agreements.</w:t>
      </w:r>
    </w:p>
    <w:p>
      <w:pPr>
        <w:pStyle w:val="BodyTextIndent"/>
        <w:ind w:start="720" w:end="0"/>
        <w:rPr/>
      </w:pPr>
      <w:r>
        <w:rPr/>
      </w:r>
    </w:p>
    <w:p>
      <w:pPr>
        <w:pStyle w:val="BodyTextIndent"/>
        <w:numPr>
          <w:ilvl w:val="0"/>
          <w:numId w:val="8"/>
        </w:numPr>
        <w:ind w:hanging="0" w:start="720" w:end="0"/>
        <w:rPr/>
      </w:pPr>
      <w:r>
        <w:rPr/>
        <w:t>That certain Gas Sales Contract dated September 14, 1988 between Sterling Chemicals, Inc. and Houston Pipe Line Company as amended by Amendments dated October 1, 1992, January 1, 1994, and July 1, 1996.</w:t>
      </w:r>
    </w:p>
    <w:p>
      <w:pPr>
        <w:pStyle w:val="BodyTextIndent"/>
        <w:ind w:start="720" w:end="0"/>
        <w:rPr/>
      </w:pPr>
      <w:r>
        <w:rPr/>
      </w:r>
    </w:p>
    <w:p>
      <w:pPr>
        <w:pStyle w:val="BodyTextIndent"/>
        <w:numPr>
          <w:ilvl w:val="0"/>
          <w:numId w:val="8"/>
        </w:numPr>
        <w:ind w:hanging="0" w:start="720" w:end="0"/>
        <w:rPr/>
      </w:pPr>
      <w:r>
        <w:rPr/>
        <w:t>That certain Gas Purchase Contract dated October 1, 1984 between TXU Fuel Company (formerly Texas Utilities Fuel Company) and Enron North America Corp. (assignee of Enron Power Services, Inc.) as amended by Amendments dated October 1, 1995 and January 1, 1996.</w:t>
      </w:r>
    </w:p>
    <w:p>
      <w:pPr>
        <w:pStyle w:val="BodyTextIndent"/>
        <w:ind w:start="720" w:end="0"/>
        <w:rPr/>
      </w:pPr>
      <w:r>
        <w:rPr/>
      </w:r>
    </w:p>
    <w:p>
      <w:pPr>
        <w:pStyle w:val="BodyTextIndent"/>
        <w:numPr>
          <w:ilvl w:val="0"/>
          <w:numId w:val="8"/>
        </w:numPr>
        <w:ind w:hanging="0" w:start="720" w:end="0"/>
        <w:rPr/>
      </w:pPr>
      <w:r>
        <w:rPr/>
        <w:t>That certain Enfolio Master Firm Purchase/Sale Agreement dated May 1, 1995 between Unit Gas Transmission Company and Enron North America Corp. (assignee of HPL Resources Company) and applicable Transaction Agreements.</w:t>
      </w:r>
    </w:p>
    <w:p>
      <w:pPr>
        <w:pStyle w:val="Normal"/>
        <w:tabs>
          <w:tab w:val="clear" w:pos="720"/>
          <w:tab w:val="left" w:pos="900" w:leader="none"/>
        </w:tabs>
        <w:ind w:start="720" w:end="0"/>
        <w:jc w:val="both"/>
        <w:rPr/>
      </w:pPr>
      <w:r>
        <w:rPr/>
      </w:r>
    </w:p>
    <w:p>
      <w:pPr>
        <w:pStyle w:val="Normal"/>
        <w:ind w:hanging="720" w:start="720" w:end="0"/>
        <w:jc w:val="both"/>
        <w:rPr/>
      </w:pPr>
      <w:r>
        <w:rPr/>
        <w:t>(vi)</w:t>
        <w:tab/>
        <w:t>Gas Processing Agreements:</w:t>
      </w:r>
    </w:p>
    <w:p>
      <w:pPr>
        <w:pStyle w:val="Normal"/>
        <w:ind w:hanging="720" w:start="720" w:end="0"/>
        <w:jc w:val="both"/>
        <w:rPr/>
      </w:pPr>
      <w:r>
        <w:rPr/>
      </w:r>
    </w:p>
    <w:p>
      <w:pPr>
        <w:pStyle w:val="Normal"/>
        <w:tabs>
          <w:tab w:val="clear" w:pos="720"/>
          <w:tab w:val="left" w:pos="1260" w:leader="none"/>
        </w:tabs>
        <w:ind w:start="720" w:end="0"/>
        <w:jc w:val="both"/>
        <w:rPr/>
      </w:pPr>
      <w:r>
        <w:rPr/>
        <w:t>1.</w:t>
        <w:tab/>
        <w:t>Gas Processing Agreement dated May 20, 1998 by and between Houston Pipe Line Company and HPL Resources Company and Exxon Company, U.S.A.</w:t>
      </w:r>
    </w:p>
    <w:p>
      <w:pPr>
        <w:pStyle w:val="Normal"/>
        <w:jc w:val="both"/>
        <w:rPr/>
      </w:pPr>
      <w:r>
        <w:rPr/>
        <w:tab/>
        <w:t>(Big Cowboy processing agreement)</w:t>
      </w:r>
    </w:p>
    <w:p>
      <w:pPr>
        <w:pStyle w:val="Normal"/>
        <w:jc w:val="both"/>
        <w:rPr/>
      </w:pPr>
      <w:r>
        <w:rPr/>
      </w:r>
    </w:p>
    <w:p>
      <w:pPr>
        <w:pStyle w:val="Normal"/>
        <w:tabs>
          <w:tab w:val="clear" w:pos="720"/>
          <w:tab w:val="left" w:pos="1260" w:leader="none"/>
        </w:tabs>
        <w:ind w:start="720" w:end="0"/>
        <w:jc w:val="both"/>
        <w:rPr/>
      </w:pPr>
      <w:r>
        <w:rPr/>
        <w:t>2.</w:t>
        <w:tab/>
        <w:t>Gas Processing Agreement dated October 1, 1999 by and between Houston Pipe Line Company and Exxon Company, U.S.A.</w:t>
      </w:r>
    </w:p>
    <w:p>
      <w:pPr>
        <w:pStyle w:val="Normal"/>
        <w:ind w:start="720" w:end="0"/>
        <w:jc w:val="both"/>
        <w:rPr/>
      </w:pPr>
      <w:r>
        <w:rPr/>
        <w:t>(Three Rivers processing agreement)</w:t>
      </w:r>
    </w:p>
    <w:p>
      <w:pPr>
        <w:pStyle w:val="Normal"/>
        <w:ind w:start="720" w:end="0"/>
        <w:jc w:val="both"/>
        <w:rPr/>
      </w:pPr>
      <w:r>
        <w:rPr/>
      </w:r>
    </w:p>
    <w:p>
      <w:pPr>
        <w:pStyle w:val="Normal"/>
        <w:numPr>
          <w:ilvl w:val="0"/>
          <w:numId w:val="4"/>
        </w:numPr>
        <w:tabs>
          <w:tab w:val="clear" w:pos="720"/>
          <w:tab w:val="left" w:pos="1260" w:leader="none"/>
        </w:tabs>
        <w:ind w:hanging="0" w:start="720" w:end="0"/>
        <w:jc w:val="both"/>
        <w:rPr/>
      </w:pPr>
      <w:r>
        <w:rPr/>
        <w:t>Gulf Plains Gas Plant Gas Processing Agreement between HPL Resources Company (Owner) and Union Pacific Resources Company (Processor) Effective June 1, 1996 (as amended)</w:t>
      </w:r>
    </w:p>
    <w:p>
      <w:pPr>
        <w:pStyle w:val="Normal"/>
        <w:ind w:start="720" w:end="0"/>
        <w:jc w:val="both"/>
        <w:rPr/>
      </w:pPr>
      <w:r>
        <w:rPr/>
        <w:t>(Duke Gulf Plains processing)</w:t>
      </w:r>
    </w:p>
    <w:p>
      <w:pPr>
        <w:pStyle w:val="Normal"/>
        <w:ind w:start="720" w:end="0"/>
        <w:jc w:val="both"/>
        <w:rPr/>
      </w:pPr>
      <w:r>
        <w:rPr/>
      </w:r>
    </w:p>
    <w:p>
      <w:pPr>
        <w:pStyle w:val="Normal"/>
        <w:tabs>
          <w:tab w:val="clear" w:pos="720"/>
          <w:tab w:val="left" w:pos="1260" w:leader="none"/>
        </w:tabs>
        <w:ind w:start="720" w:end="0"/>
        <w:jc w:val="both"/>
        <w:rPr/>
      </w:pPr>
      <w:r>
        <w:rPr/>
        <w:t>4.</w:t>
        <w:tab/>
        <w:t>Gas Purchase and Processing Agreement between Louis Dreyfus Natural Gas Corp. (Producer) and HPL Resources Company (Processor) dated December 17, 1993 (as amended)</w:t>
      </w:r>
    </w:p>
    <w:p>
      <w:pPr>
        <w:pStyle w:val="Normal"/>
        <w:jc w:val="both"/>
        <w:rPr/>
      </w:pPr>
      <w:r>
        <w:rPr/>
        <w:tab/>
        <w:t>(low pressure gas behind McMullen)</w:t>
      </w:r>
    </w:p>
    <w:p>
      <w:pPr>
        <w:pStyle w:val="Normal"/>
        <w:jc w:val="both"/>
        <w:rPr/>
      </w:pPr>
      <w:r>
        <w:rPr/>
      </w:r>
    </w:p>
    <w:p>
      <w:pPr>
        <w:pStyle w:val="Normal"/>
        <w:tabs>
          <w:tab w:val="clear" w:pos="720"/>
          <w:tab w:val="left" w:pos="1260" w:leader="none"/>
        </w:tabs>
        <w:ind w:firstLine="360" w:start="360" w:end="0"/>
        <w:jc w:val="both"/>
        <w:rPr/>
      </w:pPr>
      <w:r>
        <w:rPr/>
        <w:t>5.</w:t>
        <w:tab/>
        <w:t xml:space="preserve">Gas Processing Agreement dated Effective as of June 1, 1997 between Houston </w:t>
      </w:r>
    </w:p>
    <w:p>
      <w:pPr>
        <w:pStyle w:val="Normal"/>
        <w:ind w:start="720" w:end="0"/>
        <w:jc w:val="both"/>
        <w:rPr/>
      </w:pPr>
      <w:r>
        <w:rPr/>
        <w:t>Pipe Line Company (Processor) and Tejones Operating Company (Customer)</w:t>
      </w:r>
    </w:p>
    <w:p>
      <w:pPr>
        <w:pStyle w:val="Header"/>
        <w:tabs>
          <w:tab w:val="clear" w:pos="4680"/>
          <w:tab w:val="clear" w:pos="9360"/>
        </w:tabs>
        <w:jc w:val="both"/>
        <w:rPr/>
      </w:pPr>
      <w:r>
        <w:rPr/>
      </w:r>
    </w:p>
    <w:p>
      <w:pPr>
        <w:pStyle w:val="Normal"/>
        <w:tabs>
          <w:tab w:val="clear" w:pos="720"/>
          <w:tab w:val="left" w:pos="1260" w:leader="none"/>
        </w:tabs>
        <w:ind w:start="720" w:end="0"/>
        <w:jc w:val="both"/>
        <w:rPr/>
      </w:pPr>
      <w:r>
        <w:rPr/>
        <w:t>6.</w:t>
        <w:tab/>
        <w:t xml:space="preserve">Gas Processing Agreement between Houston Pipe Line Company  and Swift </w:t>
      </w:r>
    </w:p>
    <w:p>
      <w:pPr>
        <w:pStyle w:val="Normal"/>
        <w:ind w:start="720" w:end="0"/>
        <w:jc w:val="both"/>
        <w:rPr/>
      </w:pPr>
      <w:r>
        <w:rPr/>
        <w:t>Energy Company and Enron Gas Processing Company dated June 1, 1989 (as amended) (H50.5-PR-19-0001, high pressure gas)</w:t>
      </w:r>
    </w:p>
    <w:p>
      <w:pPr>
        <w:pStyle w:val="Normal"/>
        <w:ind w:start="720" w:end="0"/>
        <w:jc w:val="both"/>
        <w:rPr/>
      </w:pPr>
      <w:r>
        <w:rPr/>
      </w:r>
    </w:p>
    <w:p>
      <w:pPr>
        <w:pStyle w:val="Normal"/>
        <w:tabs>
          <w:tab w:val="clear" w:pos="720"/>
          <w:tab w:val="left" w:pos="1260" w:leader="none"/>
        </w:tabs>
        <w:ind w:start="720" w:end="0"/>
        <w:jc w:val="both"/>
        <w:rPr/>
      </w:pPr>
      <w:r>
        <w:rPr/>
        <w:t>7.</w:t>
        <w:tab/>
        <w:t xml:space="preserve">Gas Gathering, Compression and Processing Agreement between Swift   </w:t>
      </w:r>
    </w:p>
    <w:p>
      <w:pPr>
        <w:pStyle w:val="Normal"/>
        <w:ind w:start="720" w:end="0"/>
        <w:jc w:val="both"/>
        <w:rPr/>
      </w:pPr>
      <w:r>
        <w:rPr/>
        <w:t>Energy Company “Producer” and Enron Gas Processing Company “Processor” dated June 1, 1989 (as amended)  (H50-PR-19-0001, low pressure gas behind McMullen)</w:t>
      </w:r>
    </w:p>
    <w:p>
      <w:pPr>
        <w:pStyle w:val="Normal"/>
        <w:jc w:val="both"/>
        <w:rPr/>
      </w:pPr>
      <w:r>
        <w:rPr/>
        <w:tab/>
      </w:r>
    </w:p>
    <w:p>
      <w:pPr>
        <w:pStyle w:val="Header"/>
        <w:tabs>
          <w:tab w:val="clear" w:pos="4680"/>
          <w:tab w:val="clear" w:pos="9360"/>
        </w:tabs>
        <w:jc w:val="both"/>
        <w:rPr/>
      </w:pPr>
      <w:r>
        <w:rPr/>
        <w:t>(vii)</w:t>
        <w:tab/>
        <w:t>See attached Projected Capital Expenditures Schedule</w:t>
      </w:r>
    </w:p>
    <w:p>
      <w:pPr>
        <w:pStyle w:val="Header"/>
        <w:tabs>
          <w:tab w:val="clear" w:pos="4680"/>
          <w:tab w:val="clear" w:pos="9360"/>
        </w:tabs>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Header"/>
        <w:tabs>
          <w:tab w:val="clear" w:pos="4680"/>
          <w:tab w:val="clear" w:pos="9360"/>
        </w:tabs>
        <w:jc w:val="both"/>
        <w:rPr/>
      </w:pPr>
      <w:r>
        <w:rPr/>
        <w:t>(viii)</w:t>
        <w:tab/>
        <w:t>None</w:t>
      </w:r>
    </w:p>
    <w:p>
      <w:pPr>
        <w:pStyle w:val="Header"/>
        <w:tabs>
          <w:tab w:val="clear" w:pos="4680"/>
          <w:tab w:val="clear" w:pos="9360"/>
        </w:tabs>
        <w:jc w:val="both"/>
        <w:rPr/>
      </w:pPr>
      <w:r>
        <w:rPr/>
      </w:r>
    </w:p>
    <w:tbl>
      <w:tblPr>
        <w:tblW w:w="11717" w:type="dxa"/>
        <w:jc w:val="start"/>
        <w:tblInd w:w="0" w:type="dxa"/>
        <w:tblLayout w:type="fixed"/>
        <w:tblCellMar>
          <w:top w:w="0" w:type="dxa"/>
          <w:start w:w="30" w:type="dxa"/>
          <w:bottom w:w="0" w:type="dxa"/>
          <w:end w:w="30" w:type="dxa"/>
        </w:tblCellMar>
      </w:tblPr>
      <w:tblGrid>
        <w:gridCol w:w="7759"/>
        <w:gridCol w:w="1387"/>
        <w:gridCol w:w="1246"/>
        <w:gridCol w:w="1325"/>
      </w:tblGrid>
      <w:tr>
        <w:trPr>
          <w:trHeight w:val="449" w:hRule="atLeast"/>
        </w:trPr>
        <w:tc>
          <w:tcPr>
            <w:tcW w:w="7759" w:type="dxa"/>
            <w:tcBorders>
              <w:top w:val="single" w:sz="2" w:space="0" w:color="000000"/>
              <w:start w:val="single" w:sz="2" w:space="0" w:color="000000"/>
              <w:bottom w:val="single" w:sz="2" w:space="0" w:color="000000"/>
            </w:tcBorders>
            <w:shd w:fill="FFFFFF" w:val="clear"/>
          </w:tcPr>
          <w:p>
            <w:pPr>
              <w:pStyle w:val="Heading3"/>
              <w:ind w:hanging="0" w:start="0"/>
              <w:rPr/>
            </w:pPr>
            <w:r>
              <w:rPr/>
              <w:t>Projected Capital Expenditures Schedule</w:t>
            </w:r>
          </w:p>
        </w:tc>
        <w:tc>
          <w:tcPr>
            <w:tcW w:w="1387" w:type="dxa"/>
            <w:tcBorders>
              <w:top w:val="single" w:sz="2" w:space="0" w:color="000000"/>
              <w:bottom w:val="single" w:sz="2" w:space="0" w:color="000000"/>
            </w:tcBorders>
            <w:shd w:fill="FFFFFF" w:val="clear"/>
          </w:tcPr>
          <w:p>
            <w:pPr>
              <w:pStyle w:val="Normal"/>
              <w:autoSpaceDE w:val="false"/>
              <w:snapToGrid w:val="false"/>
              <w:jc w:val="center"/>
              <w:rPr>
                <w:rFonts w:ascii="Arial" w:hAnsi="Arial" w:cs="Arial"/>
                <w:b/>
                <w:color w:val="000000"/>
                <w:sz w:val="36"/>
              </w:rPr>
            </w:pPr>
            <w:r>
              <w:rPr>
                <w:rFonts w:cs="Arial" w:ascii="Arial" w:hAnsi="Arial"/>
                <w:b/>
                <w:color w:val="000000"/>
                <w:sz w:val="36"/>
              </w:rPr>
            </w:r>
          </w:p>
        </w:tc>
        <w:tc>
          <w:tcPr>
            <w:tcW w:w="1246" w:type="dxa"/>
            <w:tcBorders>
              <w:top w:val="single" w:sz="2" w:space="0" w:color="000000"/>
              <w:bottom w:val="single" w:sz="2" w:space="0" w:color="000000"/>
            </w:tcBorders>
            <w:shd w:fill="FFFFFF" w:val="clear"/>
          </w:tcPr>
          <w:p>
            <w:pPr>
              <w:pStyle w:val="Normal"/>
              <w:autoSpaceDE w:val="false"/>
              <w:snapToGrid w:val="false"/>
              <w:jc w:val="center"/>
              <w:rPr>
                <w:rFonts w:ascii="Arial" w:hAnsi="Arial" w:cs="Arial"/>
                <w:b/>
                <w:color w:val="000000"/>
                <w:sz w:val="36"/>
              </w:rPr>
            </w:pPr>
            <w:r>
              <w:rPr>
                <w:rFonts w:cs="Arial" w:ascii="Arial" w:hAnsi="Arial"/>
                <w:b/>
                <w:color w:val="000000"/>
                <w:sz w:val="36"/>
              </w:rPr>
            </w:r>
          </w:p>
        </w:tc>
        <w:tc>
          <w:tcPr>
            <w:tcW w:w="1325" w:type="dxa"/>
            <w:tcBorders>
              <w:top w:val="single" w:sz="2" w:space="0" w:color="000000"/>
              <w:bottom w:val="single" w:sz="2" w:space="0" w:color="000000"/>
              <w:end w:val="single" w:sz="2" w:space="0" w:color="000000"/>
            </w:tcBorders>
            <w:shd w:fill="FFFFFF" w:val="clear"/>
          </w:tcPr>
          <w:p>
            <w:pPr>
              <w:pStyle w:val="Normal"/>
              <w:autoSpaceDE w:val="false"/>
              <w:snapToGrid w:val="false"/>
              <w:jc w:val="center"/>
              <w:rPr>
                <w:rFonts w:ascii="Arial" w:hAnsi="Arial" w:cs="Arial"/>
                <w:b/>
                <w:color w:val="000000"/>
                <w:sz w:val="36"/>
              </w:rPr>
            </w:pPr>
            <w:r>
              <w:rPr>
                <w:rFonts w:cs="Arial" w:ascii="Arial" w:hAnsi="Arial"/>
                <w:b/>
                <w:color w:val="000000"/>
                <w:sz w:val="36"/>
              </w:rPr>
            </w:r>
          </w:p>
        </w:tc>
      </w:tr>
      <w:tr>
        <w:trPr>
          <w:trHeight w:val="449" w:hRule="atLeast"/>
        </w:trPr>
        <w:tc>
          <w:tcPr>
            <w:tcW w:w="7759" w:type="dxa"/>
            <w:tcBorders>
              <w:top w:val="single" w:sz="2" w:space="0" w:color="000000"/>
              <w:start w:val="single" w:sz="2" w:space="0" w:color="000000"/>
              <w:bottom w:val="single" w:sz="2" w:space="0" w:color="000000"/>
            </w:tcBorders>
            <w:shd w:fill="FFFFFF" w:val="clear"/>
          </w:tcPr>
          <w:p>
            <w:pPr>
              <w:pStyle w:val="Normal"/>
              <w:autoSpaceDE w:val="false"/>
              <w:rPr>
                <w:rFonts w:ascii="Arial" w:hAnsi="Arial" w:cs="Arial"/>
                <w:b/>
                <w:color w:val="000000"/>
                <w:sz w:val="36"/>
              </w:rPr>
            </w:pPr>
            <w:r>
              <w:rPr>
                <w:rFonts w:cs="Arial" w:ascii="Arial" w:hAnsi="Arial"/>
                <w:b/>
                <w:color w:val="000000"/>
                <w:sz w:val="36"/>
              </w:rPr>
              <w:t>Houston Pipe Line Company</w:t>
            </w:r>
          </w:p>
        </w:tc>
        <w:tc>
          <w:tcPr>
            <w:tcW w:w="1387" w:type="dxa"/>
            <w:tcBorders>
              <w:top w:val="single" w:sz="2" w:space="0" w:color="000000"/>
              <w:bottom w:val="single" w:sz="2" w:space="0" w:color="000000"/>
            </w:tcBorders>
            <w:shd w:fill="FFFFFF" w:val="clear"/>
          </w:tcPr>
          <w:p>
            <w:pPr>
              <w:pStyle w:val="Normal"/>
              <w:autoSpaceDE w:val="false"/>
              <w:snapToGrid w:val="false"/>
              <w:jc w:val="center"/>
              <w:rPr>
                <w:rFonts w:ascii="Arial" w:hAnsi="Arial" w:cs="Arial"/>
                <w:b/>
                <w:color w:val="000000"/>
                <w:sz w:val="36"/>
              </w:rPr>
            </w:pPr>
            <w:r>
              <w:rPr>
                <w:rFonts w:cs="Arial" w:ascii="Arial" w:hAnsi="Arial"/>
                <w:b/>
                <w:color w:val="000000"/>
                <w:sz w:val="36"/>
              </w:rPr>
            </w:r>
          </w:p>
        </w:tc>
        <w:tc>
          <w:tcPr>
            <w:tcW w:w="1246" w:type="dxa"/>
            <w:tcBorders>
              <w:top w:val="single" w:sz="2" w:space="0" w:color="000000"/>
              <w:bottom w:val="single" w:sz="2" w:space="0" w:color="000000"/>
            </w:tcBorders>
            <w:shd w:fill="FFFFFF" w:val="clear"/>
          </w:tcPr>
          <w:p>
            <w:pPr>
              <w:pStyle w:val="Normal"/>
              <w:autoSpaceDE w:val="false"/>
              <w:snapToGrid w:val="false"/>
              <w:jc w:val="center"/>
              <w:rPr>
                <w:rFonts w:ascii="Arial" w:hAnsi="Arial" w:cs="Arial"/>
                <w:b/>
                <w:color w:val="000000"/>
                <w:sz w:val="36"/>
              </w:rPr>
            </w:pPr>
            <w:r>
              <w:rPr>
                <w:rFonts w:cs="Arial" w:ascii="Arial" w:hAnsi="Arial"/>
                <w:b/>
                <w:color w:val="000000"/>
                <w:sz w:val="36"/>
              </w:rPr>
            </w:r>
          </w:p>
        </w:tc>
        <w:tc>
          <w:tcPr>
            <w:tcW w:w="1325" w:type="dxa"/>
            <w:tcBorders>
              <w:top w:val="single" w:sz="2" w:space="0" w:color="000000"/>
              <w:bottom w:val="single" w:sz="2" w:space="0" w:color="000000"/>
              <w:end w:val="single" w:sz="2" w:space="0" w:color="000000"/>
            </w:tcBorders>
            <w:shd w:fill="FFFFFF" w:val="clear"/>
          </w:tcPr>
          <w:p>
            <w:pPr>
              <w:pStyle w:val="Normal"/>
              <w:autoSpaceDE w:val="false"/>
              <w:snapToGrid w:val="false"/>
              <w:jc w:val="center"/>
              <w:rPr>
                <w:rFonts w:ascii="Arial" w:hAnsi="Arial" w:cs="Arial"/>
                <w:b/>
                <w:color w:val="000000"/>
                <w:sz w:val="36"/>
              </w:rPr>
            </w:pPr>
            <w:r>
              <w:rPr>
                <w:rFonts w:cs="Arial" w:ascii="Arial" w:hAnsi="Arial"/>
                <w:b/>
                <w:color w:val="000000"/>
                <w:sz w:val="36"/>
              </w:rPr>
            </w:r>
          </w:p>
        </w:tc>
      </w:tr>
      <w:tr>
        <w:trPr>
          <w:trHeight w:val="348" w:hRule="atLeast"/>
        </w:trPr>
        <w:tc>
          <w:tcPr>
            <w:tcW w:w="11717" w:type="dxa"/>
            <w:gridSpan w:val="4"/>
            <w:tcBorders>
              <w:top w:val="single" w:sz="2" w:space="0" w:color="000000"/>
              <w:start w:val="single" w:sz="2" w:space="0" w:color="000000"/>
              <w:bottom w:val="single" w:sz="2" w:space="0" w:color="000000"/>
              <w:end w:val="single" w:sz="2" w:space="0" w:color="000000"/>
            </w:tcBorders>
            <w:shd w:fill="FFFFFF" w:val="clear"/>
          </w:tcPr>
          <w:p>
            <w:pPr>
              <w:pStyle w:val="Normal"/>
              <w:autoSpaceDE w:val="false"/>
              <w:rPr>
                <w:rFonts w:ascii="Arial" w:hAnsi="Arial" w:cs="Arial"/>
                <w:b/>
                <w:color w:val="000000"/>
                <w:sz w:val="32"/>
              </w:rPr>
            </w:pPr>
            <w:r>
              <w:rPr>
                <w:rFonts w:cs="Arial" w:ascii="Arial" w:hAnsi="Arial"/>
                <w:b/>
                <w:color w:val="000000"/>
                <w:sz w:val="32"/>
              </w:rPr>
              <w:t>Summary of Commitments for Capital in excess of $2,500,000</w:t>
            </w:r>
          </w:p>
        </w:tc>
      </w:tr>
      <w:tr>
        <w:trPr>
          <w:trHeight w:val="348" w:hRule="atLeast"/>
        </w:trPr>
        <w:tc>
          <w:tcPr>
            <w:tcW w:w="7759" w:type="dxa"/>
            <w:tcBorders>
              <w:top w:val="single" w:sz="2" w:space="0" w:color="000000"/>
              <w:start w:val="single" w:sz="2" w:space="0" w:color="000000"/>
              <w:bottom w:val="single" w:sz="2" w:space="0" w:color="000000"/>
            </w:tcBorders>
            <w:shd w:fill="FFFFFF" w:val="clear"/>
          </w:tcPr>
          <w:p>
            <w:pPr>
              <w:pStyle w:val="Normal"/>
              <w:autoSpaceDE w:val="false"/>
              <w:rPr>
                <w:rFonts w:ascii="Arial" w:hAnsi="Arial" w:cs="Arial"/>
                <w:b/>
                <w:color w:val="000000"/>
                <w:sz w:val="32"/>
              </w:rPr>
            </w:pPr>
            <w:r>
              <w:rPr>
                <w:rFonts w:cs="Arial" w:ascii="Arial" w:hAnsi="Arial"/>
                <w:b/>
                <w:color w:val="000000"/>
                <w:sz w:val="32"/>
              </w:rPr>
              <w:t>September 15, 2000</w:t>
            </w:r>
          </w:p>
        </w:tc>
        <w:tc>
          <w:tcPr>
            <w:tcW w:w="1387" w:type="dxa"/>
            <w:tcBorders>
              <w:top w:val="single" w:sz="2" w:space="0" w:color="000000"/>
              <w:bottom w:val="single" w:sz="2" w:space="0" w:color="000000"/>
            </w:tcBorders>
            <w:shd w:fill="FFFFFF" w:val="clear"/>
          </w:tcPr>
          <w:p>
            <w:pPr>
              <w:pStyle w:val="Normal"/>
              <w:autoSpaceDE w:val="false"/>
              <w:snapToGrid w:val="false"/>
              <w:jc w:val="center"/>
              <w:rPr>
                <w:rFonts w:ascii="Arial" w:hAnsi="Arial" w:cs="Arial"/>
                <w:b/>
                <w:color w:val="000000"/>
                <w:sz w:val="32"/>
              </w:rPr>
            </w:pPr>
            <w:r>
              <w:rPr>
                <w:rFonts w:cs="Arial" w:ascii="Arial" w:hAnsi="Arial"/>
                <w:b/>
                <w:color w:val="000000"/>
                <w:sz w:val="32"/>
              </w:rPr>
            </w:r>
          </w:p>
        </w:tc>
        <w:tc>
          <w:tcPr>
            <w:tcW w:w="1246" w:type="dxa"/>
            <w:tcBorders>
              <w:top w:val="single" w:sz="2" w:space="0" w:color="000000"/>
              <w:bottom w:val="single" w:sz="2" w:space="0" w:color="000000"/>
            </w:tcBorders>
            <w:shd w:fill="FFFFFF" w:val="clear"/>
          </w:tcPr>
          <w:p>
            <w:pPr>
              <w:pStyle w:val="Normal"/>
              <w:autoSpaceDE w:val="false"/>
              <w:snapToGrid w:val="false"/>
              <w:jc w:val="center"/>
              <w:rPr>
                <w:rFonts w:ascii="Arial" w:hAnsi="Arial" w:cs="Arial"/>
                <w:b/>
                <w:color w:val="000000"/>
                <w:sz w:val="32"/>
              </w:rPr>
            </w:pPr>
            <w:r>
              <w:rPr>
                <w:rFonts w:cs="Arial" w:ascii="Arial" w:hAnsi="Arial"/>
                <w:b/>
                <w:color w:val="000000"/>
                <w:sz w:val="32"/>
              </w:rPr>
            </w:r>
          </w:p>
        </w:tc>
        <w:tc>
          <w:tcPr>
            <w:tcW w:w="1325" w:type="dxa"/>
            <w:tcBorders>
              <w:top w:val="single" w:sz="2" w:space="0" w:color="000000"/>
              <w:bottom w:val="single" w:sz="2" w:space="0" w:color="000000"/>
              <w:end w:val="single" w:sz="2" w:space="0" w:color="000000"/>
            </w:tcBorders>
            <w:shd w:fill="FFFFFF" w:val="clear"/>
          </w:tcPr>
          <w:p>
            <w:pPr>
              <w:pStyle w:val="Normal"/>
              <w:autoSpaceDE w:val="false"/>
              <w:snapToGrid w:val="false"/>
              <w:jc w:val="center"/>
              <w:rPr>
                <w:rFonts w:ascii="Arial" w:hAnsi="Arial" w:cs="Arial"/>
                <w:b/>
                <w:color w:val="000000"/>
                <w:sz w:val="32"/>
              </w:rPr>
            </w:pPr>
            <w:r>
              <w:rPr>
                <w:rFonts w:cs="Arial" w:ascii="Arial" w:hAnsi="Arial"/>
                <w:b/>
                <w:color w:val="000000"/>
                <w:sz w:val="32"/>
              </w:rPr>
            </w:r>
          </w:p>
        </w:tc>
      </w:tr>
      <w:tr>
        <w:trPr>
          <w:trHeight w:val="348" w:hRule="atLeast"/>
        </w:trPr>
        <w:tc>
          <w:tcPr>
            <w:tcW w:w="7759" w:type="dxa"/>
            <w:tcBorders>
              <w:top w:val="single" w:sz="2" w:space="0" w:color="000000"/>
              <w:start w:val="single" w:sz="2" w:space="0" w:color="000000"/>
              <w:bottom w:val="single" w:sz="12" w:space="0" w:color="000000"/>
              <w:end w:val="single" w:sz="2" w:space="0" w:color="000000"/>
            </w:tcBorders>
            <w:shd w:fill="FFFFFF" w:val="clear"/>
          </w:tcPr>
          <w:p>
            <w:pPr>
              <w:pStyle w:val="Normal"/>
              <w:autoSpaceDE w:val="false"/>
              <w:snapToGrid w:val="false"/>
              <w:jc w:val="center"/>
              <w:rPr>
                <w:rFonts w:ascii="Arial" w:hAnsi="Arial" w:cs="Arial"/>
                <w:b/>
                <w:color w:val="000000"/>
                <w:sz w:val="32"/>
              </w:rPr>
            </w:pPr>
            <w:r>
              <w:rPr>
                <w:rFonts w:cs="Arial" w:ascii="Arial" w:hAnsi="Arial"/>
                <w:b/>
                <w:color w:val="000000"/>
                <w:sz w:val="32"/>
              </w:rPr>
            </w:r>
          </w:p>
        </w:tc>
        <w:tc>
          <w:tcPr>
            <w:tcW w:w="1387" w:type="dxa"/>
            <w:tcBorders>
              <w:top w:val="single" w:sz="2" w:space="0" w:color="000000"/>
              <w:start w:val="single" w:sz="2" w:space="0" w:color="000000"/>
              <w:bottom w:val="single" w:sz="12" w:space="0" w:color="000000"/>
              <w:end w:val="single" w:sz="2" w:space="0" w:color="000000"/>
            </w:tcBorders>
          </w:tcPr>
          <w:p>
            <w:pPr>
              <w:pStyle w:val="Normal"/>
              <w:autoSpaceDE w:val="false"/>
              <w:snapToGrid w:val="false"/>
              <w:jc w:val="center"/>
              <w:rPr>
                <w:rFonts w:ascii="Arial" w:hAnsi="Arial" w:cs="Arial"/>
                <w:b/>
                <w:color w:val="000000"/>
              </w:rPr>
            </w:pPr>
            <w:r>
              <w:rPr>
                <w:rFonts w:cs="Arial" w:ascii="Arial" w:hAnsi="Arial"/>
                <w:b/>
                <w:color w:val="000000"/>
              </w:rPr>
            </w:r>
          </w:p>
        </w:tc>
        <w:tc>
          <w:tcPr>
            <w:tcW w:w="1246" w:type="dxa"/>
            <w:tcBorders>
              <w:top w:val="single" w:sz="2" w:space="0" w:color="000000"/>
              <w:start w:val="single" w:sz="2" w:space="0" w:color="000000"/>
              <w:bottom w:val="single" w:sz="12" w:space="0" w:color="000000"/>
              <w:end w:val="single" w:sz="2" w:space="0" w:color="000000"/>
            </w:tcBorders>
          </w:tcPr>
          <w:p>
            <w:pPr>
              <w:pStyle w:val="Normal"/>
              <w:autoSpaceDE w:val="false"/>
              <w:snapToGrid w:val="false"/>
              <w:jc w:val="center"/>
              <w:rPr>
                <w:rFonts w:ascii="Arial" w:hAnsi="Arial" w:cs="Arial"/>
                <w:b/>
                <w:color w:val="000000"/>
              </w:rPr>
            </w:pPr>
            <w:r>
              <w:rPr>
                <w:rFonts w:cs="Arial" w:ascii="Arial" w:hAnsi="Arial"/>
                <w:b/>
                <w:color w:val="000000"/>
              </w:rPr>
            </w:r>
          </w:p>
        </w:tc>
        <w:tc>
          <w:tcPr>
            <w:tcW w:w="1325" w:type="dxa"/>
            <w:tcBorders>
              <w:top w:val="single" w:sz="2" w:space="0" w:color="000000"/>
              <w:start w:val="single" w:sz="2" w:space="0" w:color="000000"/>
              <w:bottom w:val="single" w:sz="12" w:space="0" w:color="000000"/>
              <w:end w:val="single" w:sz="2" w:space="0" w:color="000000"/>
            </w:tcBorders>
          </w:tcPr>
          <w:p>
            <w:pPr>
              <w:pStyle w:val="Normal"/>
              <w:autoSpaceDE w:val="false"/>
              <w:snapToGrid w:val="false"/>
              <w:jc w:val="end"/>
              <w:rPr>
                <w:rFonts w:ascii="Arial" w:hAnsi="Arial" w:cs="Arial"/>
                <w:b/>
                <w:color w:val="000000"/>
                <w:sz w:val="20"/>
                <w:u w:val="single"/>
              </w:rPr>
            </w:pPr>
            <w:r>
              <w:rPr>
                <w:rFonts w:cs="Arial" w:ascii="Arial" w:hAnsi="Arial"/>
                <w:b/>
                <w:color w:val="000000"/>
                <w:sz w:val="20"/>
                <w:u w:val="single"/>
              </w:rPr>
            </w:r>
          </w:p>
        </w:tc>
      </w:tr>
      <w:tr>
        <w:trPr>
          <w:trHeight w:val="262" w:hRule="atLeast"/>
        </w:trPr>
        <w:tc>
          <w:tcPr>
            <w:tcW w:w="7759" w:type="dxa"/>
            <w:tcBorders>
              <w:top w:val="single" w:sz="12" w:space="0" w:color="000000"/>
              <w:start w:val="single" w:sz="12" w:space="0" w:color="000000"/>
              <w:bottom w:val="single" w:sz="2" w:space="0" w:color="000000"/>
              <w:end w:val="single" w:sz="6" w:space="0" w:color="000000"/>
            </w:tcBorders>
            <w:shd w:fill="FFFFFF" w:val="clear"/>
          </w:tcPr>
          <w:p>
            <w:pPr>
              <w:pStyle w:val="Normal"/>
              <w:autoSpaceDE w:val="false"/>
              <w:rPr>
                <w:rFonts w:ascii="MS Sans Serif" w:hAnsi="MS Sans Serif" w:eastAsia="MS Sans Serif" w:cs="MS Sans Serif"/>
                <w:b/>
                <w:color w:val="800080"/>
                <w:sz w:val="22"/>
              </w:rPr>
            </w:pPr>
            <w:r>
              <w:rPr>
                <w:rFonts w:eastAsia="MS Sans Serif" w:cs="MS Sans Serif" w:ascii="MS Sans Serif" w:hAnsi="MS Sans Serif"/>
                <w:b/>
                <w:color w:val="800080"/>
                <w:sz w:val="22"/>
              </w:rPr>
              <w:t xml:space="preserve"> </w:t>
            </w:r>
          </w:p>
        </w:tc>
        <w:tc>
          <w:tcPr>
            <w:tcW w:w="1387" w:type="dxa"/>
            <w:tcBorders>
              <w:top w:val="single" w:sz="12" w:space="0" w:color="000000"/>
              <w:start w:val="single" w:sz="2" w:space="0" w:color="000000"/>
              <w:bottom w:val="single" w:sz="2" w:space="0" w:color="000000"/>
              <w:end w:val="single" w:sz="6" w:space="0" w:color="000000"/>
            </w:tcBorders>
            <w:shd w:fill="FFFFFF" w:val="clear"/>
          </w:tcPr>
          <w:p>
            <w:pPr>
              <w:pStyle w:val="Normal"/>
              <w:autoSpaceDE w:val="false"/>
              <w:jc w:val="center"/>
              <w:rPr>
                <w:rFonts w:ascii="MS Sans Serif" w:hAnsi="MS Sans Serif" w:cs="MS Sans Serif"/>
                <w:b/>
                <w:color w:val="000000"/>
                <w:sz w:val="20"/>
              </w:rPr>
            </w:pPr>
            <w:r>
              <w:rPr>
                <w:rFonts w:cs="MS Sans Serif" w:ascii="MS Sans Serif" w:hAnsi="MS Sans Serif"/>
                <w:b/>
                <w:color w:val="000000"/>
                <w:sz w:val="20"/>
              </w:rPr>
              <w:t>Original</w:t>
            </w:r>
          </w:p>
        </w:tc>
        <w:tc>
          <w:tcPr>
            <w:tcW w:w="1246" w:type="dxa"/>
            <w:tcBorders>
              <w:top w:val="single" w:sz="12" w:space="0" w:color="000000"/>
              <w:start w:val="single" w:sz="6" w:space="0" w:color="000000"/>
              <w:bottom w:val="single" w:sz="2" w:space="0" w:color="000000"/>
              <w:end w:val="single" w:sz="6" w:space="0" w:color="000000"/>
            </w:tcBorders>
            <w:shd w:fill="FFFFFF" w:val="clear"/>
          </w:tcPr>
          <w:p>
            <w:pPr>
              <w:pStyle w:val="Normal"/>
              <w:autoSpaceDE w:val="false"/>
              <w:jc w:val="center"/>
              <w:rPr>
                <w:rFonts w:ascii="MS Sans Serif" w:hAnsi="MS Sans Serif" w:cs="MS Sans Serif"/>
                <w:b/>
                <w:color w:val="000000"/>
                <w:sz w:val="20"/>
              </w:rPr>
            </w:pPr>
            <w:r>
              <w:rPr>
                <w:rFonts w:cs="MS Sans Serif" w:ascii="MS Sans Serif" w:hAnsi="MS Sans Serif"/>
                <w:b/>
                <w:color w:val="000000"/>
                <w:sz w:val="20"/>
              </w:rPr>
              <w:t>Actual</w:t>
            </w:r>
          </w:p>
        </w:tc>
        <w:tc>
          <w:tcPr>
            <w:tcW w:w="1325" w:type="dxa"/>
            <w:tcBorders>
              <w:top w:val="single" w:sz="12" w:space="0" w:color="000000"/>
              <w:start w:val="single" w:sz="6" w:space="0" w:color="000000"/>
              <w:bottom w:val="single" w:sz="2" w:space="0" w:color="000000"/>
              <w:end w:val="single" w:sz="6" w:space="0" w:color="000000"/>
            </w:tcBorders>
            <w:shd w:fill="FFFFFF" w:val="clear"/>
          </w:tcPr>
          <w:p>
            <w:pPr>
              <w:pStyle w:val="Normal"/>
              <w:autoSpaceDE w:val="false"/>
              <w:jc w:val="center"/>
              <w:rPr>
                <w:rFonts w:ascii="MS Sans Serif" w:hAnsi="MS Sans Serif" w:cs="MS Sans Serif"/>
                <w:b/>
                <w:color w:val="000000"/>
                <w:sz w:val="20"/>
              </w:rPr>
            </w:pPr>
            <w:r>
              <w:rPr>
                <w:rFonts w:cs="MS Sans Serif" w:ascii="MS Sans Serif" w:hAnsi="MS Sans Serif"/>
                <w:b/>
                <w:color w:val="000000"/>
                <w:sz w:val="20"/>
              </w:rPr>
              <w:t>Remaining</w:t>
            </w:r>
          </w:p>
        </w:tc>
      </w:tr>
      <w:tr>
        <w:trPr>
          <w:trHeight w:val="290" w:hRule="atLeast"/>
        </w:trPr>
        <w:tc>
          <w:tcPr>
            <w:tcW w:w="7759" w:type="dxa"/>
            <w:tcBorders>
              <w:top w:val="single" w:sz="2" w:space="0" w:color="000000"/>
              <w:start w:val="single" w:sz="12" w:space="0" w:color="000000"/>
              <w:bottom w:val="single" w:sz="2" w:space="0" w:color="000000"/>
              <w:end w:val="single" w:sz="6" w:space="0" w:color="000000"/>
            </w:tcBorders>
            <w:shd w:fill="FFFFFF" w:val="clear"/>
          </w:tcPr>
          <w:p>
            <w:pPr>
              <w:pStyle w:val="Normal"/>
              <w:autoSpaceDE w:val="false"/>
              <w:snapToGrid w:val="false"/>
              <w:jc w:val="center"/>
              <w:rPr>
                <w:rFonts w:ascii="MS Sans Serif" w:hAnsi="MS Sans Serif" w:cs="MS Sans Serif"/>
                <w:b/>
                <w:color w:val="000000"/>
                <w:sz w:val="20"/>
              </w:rPr>
            </w:pPr>
            <w:r>
              <w:rPr>
                <w:rFonts w:cs="MS Sans Serif" w:ascii="MS Sans Serif" w:hAnsi="MS Sans Serif"/>
                <w:b/>
                <w:color w:val="000000"/>
                <w:sz w:val="20"/>
              </w:rPr>
            </w:r>
          </w:p>
        </w:tc>
        <w:tc>
          <w:tcPr>
            <w:tcW w:w="1387" w:type="dxa"/>
            <w:tcBorders>
              <w:top w:val="single" w:sz="2" w:space="0" w:color="000000"/>
              <w:start w:val="single" w:sz="2" w:space="0" w:color="000000"/>
              <w:bottom w:val="single" w:sz="2" w:space="0" w:color="000000"/>
              <w:end w:val="single" w:sz="6" w:space="0" w:color="000000"/>
            </w:tcBorders>
            <w:shd w:fill="FFFFFF" w:val="clear"/>
          </w:tcPr>
          <w:p>
            <w:pPr>
              <w:pStyle w:val="Normal"/>
              <w:autoSpaceDE w:val="false"/>
              <w:jc w:val="center"/>
              <w:rPr>
                <w:rFonts w:ascii="MS Sans Serif" w:hAnsi="MS Sans Serif" w:cs="MS Sans Serif"/>
                <w:b/>
                <w:color w:val="000000"/>
                <w:sz w:val="20"/>
              </w:rPr>
            </w:pPr>
            <w:r>
              <w:rPr>
                <w:rFonts w:cs="MS Sans Serif" w:ascii="MS Sans Serif" w:hAnsi="MS Sans Serif"/>
                <w:b/>
                <w:color w:val="000000"/>
                <w:sz w:val="20"/>
              </w:rPr>
              <w:t>Budgeted</w:t>
            </w:r>
          </w:p>
        </w:tc>
        <w:tc>
          <w:tcPr>
            <w:tcW w:w="1246" w:type="dxa"/>
            <w:tcBorders>
              <w:top w:val="single" w:sz="2" w:space="0" w:color="000000"/>
              <w:start w:val="single" w:sz="6" w:space="0" w:color="000000"/>
              <w:bottom w:val="single" w:sz="2" w:space="0" w:color="000000"/>
              <w:end w:val="single" w:sz="6" w:space="0" w:color="000000"/>
            </w:tcBorders>
            <w:shd w:fill="FFFFFF" w:val="clear"/>
          </w:tcPr>
          <w:p>
            <w:pPr>
              <w:pStyle w:val="Normal"/>
              <w:autoSpaceDE w:val="false"/>
              <w:jc w:val="center"/>
              <w:rPr>
                <w:rFonts w:ascii="MS Sans Serif" w:hAnsi="MS Sans Serif" w:cs="MS Sans Serif"/>
                <w:b/>
                <w:color w:val="000000"/>
                <w:sz w:val="20"/>
              </w:rPr>
            </w:pPr>
            <w:r>
              <w:rPr>
                <w:rFonts w:cs="MS Sans Serif" w:ascii="MS Sans Serif" w:hAnsi="MS Sans Serif"/>
                <w:b/>
                <w:color w:val="000000"/>
                <w:sz w:val="20"/>
              </w:rPr>
              <w:t>Expended</w:t>
            </w:r>
          </w:p>
        </w:tc>
        <w:tc>
          <w:tcPr>
            <w:tcW w:w="1325" w:type="dxa"/>
            <w:tcBorders>
              <w:top w:val="single" w:sz="2" w:space="0" w:color="000000"/>
              <w:start w:val="single" w:sz="6" w:space="0" w:color="000000"/>
              <w:bottom w:val="single" w:sz="2" w:space="0" w:color="000000"/>
              <w:end w:val="single" w:sz="6" w:space="0" w:color="000000"/>
            </w:tcBorders>
            <w:shd w:fill="FFFFFF" w:val="clear"/>
          </w:tcPr>
          <w:p>
            <w:pPr>
              <w:pStyle w:val="Normal"/>
              <w:autoSpaceDE w:val="false"/>
              <w:jc w:val="center"/>
              <w:rPr>
                <w:rFonts w:ascii="MS Sans Serif" w:hAnsi="MS Sans Serif" w:cs="MS Sans Serif"/>
                <w:b/>
                <w:color w:val="000000"/>
                <w:sz w:val="20"/>
              </w:rPr>
            </w:pPr>
            <w:r>
              <w:rPr>
                <w:rFonts w:cs="MS Sans Serif" w:ascii="MS Sans Serif" w:hAnsi="MS Sans Serif"/>
                <w:b/>
                <w:color w:val="000000"/>
                <w:sz w:val="20"/>
              </w:rPr>
              <w:t>Funds</w:t>
            </w:r>
          </w:p>
        </w:tc>
      </w:tr>
      <w:tr>
        <w:trPr>
          <w:trHeight w:val="319" w:hRule="atLeast"/>
        </w:trPr>
        <w:tc>
          <w:tcPr>
            <w:tcW w:w="7759" w:type="dxa"/>
            <w:tcBorders>
              <w:top w:val="single" w:sz="2" w:space="0" w:color="000000"/>
              <w:start w:val="single" w:sz="12" w:space="0" w:color="000000"/>
              <w:bottom w:val="single" w:sz="12" w:space="0" w:color="000000"/>
              <w:end w:val="single" w:sz="6" w:space="0" w:color="000000"/>
            </w:tcBorders>
            <w:shd w:fill="FFFFFF" w:val="clear"/>
          </w:tcPr>
          <w:p>
            <w:pPr>
              <w:pStyle w:val="Normal"/>
              <w:autoSpaceDE w:val="false"/>
              <w:jc w:val="center"/>
              <w:rPr>
                <w:rFonts w:ascii="MS Sans Serif" w:hAnsi="MS Sans Serif" w:cs="MS Sans Serif"/>
                <w:b/>
                <w:color w:val="000000"/>
              </w:rPr>
            </w:pPr>
            <w:r>
              <w:rPr>
                <w:rFonts w:cs="MS Sans Serif" w:ascii="MS Sans Serif" w:hAnsi="MS Sans Serif"/>
                <w:b/>
                <w:color w:val="000000"/>
              </w:rPr>
              <w:t>Project</w:t>
            </w:r>
          </w:p>
        </w:tc>
        <w:tc>
          <w:tcPr>
            <w:tcW w:w="1387" w:type="dxa"/>
            <w:tcBorders>
              <w:top w:val="single" w:sz="2" w:space="0" w:color="000000"/>
              <w:start w:val="single" w:sz="2" w:space="0" w:color="000000"/>
              <w:bottom w:val="single" w:sz="12" w:space="0" w:color="000000"/>
              <w:end w:val="single" w:sz="6" w:space="0" w:color="000000"/>
            </w:tcBorders>
            <w:shd w:fill="FFFFFF" w:val="clear"/>
          </w:tcPr>
          <w:p>
            <w:pPr>
              <w:pStyle w:val="Normal"/>
              <w:autoSpaceDE w:val="false"/>
              <w:jc w:val="center"/>
              <w:rPr>
                <w:rFonts w:ascii="MS Sans Serif" w:hAnsi="MS Sans Serif" w:cs="MS Sans Serif"/>
                <w:b/>
                <w:color w:val="000000"/>
                <w:sz w:val="20"/>
              </w:rPr>
            </w:pPr>
            <w:r>
              <w:rPr>
                <w:rFonts w:cs="MS Sans Serif" w:ascii="MS Sans Serif" w:hAnsi="MS Sans Serif"/>
                <w:b/>
                <w:color w:val="000000"/>
                <w:sz w:val="20"/>
              </w:rPr>
              <w:t>Cost</w:t>
            </w:r>
          </w:p>
        </w:tc>
        <w:tc>
          <w:tcPr>
            <w:tcW w:w="1246" w:type="dxa"/>
            <w:tcBorders>
              <w:top w:val="single" w:sz="2" w:space="0" w:color="000000"/>
              <w:start w:val="single" w:sz="6" w:space="0" w:color="000000"/>
              <w:bottom w:val="single" w:sz="12" w:space="0" w:color="000000"/>
              <w:end w:val="single" w:sz="6" w:space="0" w:color="000000"/>
            </w:tcBorders>
            <w:shd w:fill="FFFFFF" w:val="clear"/>
          </w:tcPr>
          <w:p>
            <w:pPr>
              <w:pStyle w:val="Normal"/>
              <w:autoSpaceDE w:val="false"/>
              <w:jc w:val="center"/>
              <w:rPr>
                <w:rFonts w:ascii="MS Sans Serif" w:hAnsi="MS Sans Serif" w:cs="MS Sans Serif"/>
                <w:b/>
                <w:color w:val="000000"/>
                <w:sz w:val="20"/>
              </w:rPr>
            </w:pPr>
            <w:r>
              <w:rPr>
                <w:rFonts w:cs="MS Sans Serif" w:ascii="MS Sans Serif" w:hAnsi="MS Sans Serif"/>
                <w:b/>
                <w:color w:val="000000"/>
                <w:sz w:val="20"/>
              </w:rPr>
              <w:t>To Date</w:t>
            </w:r>
          </w:p>
        </w:tc>
        <w:tc>
          <w:tcPr>
            <w:tcW w:w="1325" w:type="dxa"/>
            <w:tcBorders>
              <w:top w:val="single" w:sz="2" w:space="0" w:color="000000"/>
              <w:start w:val="single" w:sz="6" w:space="0" w:color="000000"/>
              <w:bottom w:val="single" w:sz="12" w:space="0" w:color="000000"/>
              <w:end w:val="single" w:sz="6" w:space="0" w:color="000000"/>
            </w:tcBorders>
            <w:shd w:fill="FFFFFF" w:val="clear"/>
          </w:tcPr>
          <w:p>
            <w:pPr>
              <w:pStyle w:val="Normal"/>
              <w:autoSpaceDE w:val="false"/>
              <w:jc w:val="center"/>
              <w:rPr>
                <w:rFonts w:ascii="MS Sans Serif" w:hAnsi="MS Sans Serif" w:cs="MS Sans Serif"/>
                <w:b/>
                <w:color w:val="000000"/>
                <w:sz w:val="20"/>
              </w:rPr>
            </w:pPr>
            <w:r>
              <w:rPr>
                <w:rFonts w:cs="MS Sans Serif" w:ascii="MS Sans Serif" w:hAnsi="MS Sans Serif"/>
                <w:b/>
                <w:color w:val="000000"/>
                <w:sz w:val="20"/>
              </w:rPr>
              <w:t>Committed</w:t>
            </w:r>
          </w:p>
        </w:tc>
      </w:tr>
      <w:tr>
        <w:trPr>
          <w:trHeight w:val="247" w:hRule="atLeast"/>
        </w:trPr>
        <w:tc>
          <w:tcPr>
            <w:tcW w:w="7759" w:type="dxa"/>
            <w:tcBorders>
              <w:top w:val="single" w:sz="1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1387" w:type="dxa"/>
            <w:tcBorders>
              <w:top w:val="single" w:sz="1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246" w:type="dxa"/>
            <w:tcBorders>
              <w:top w:val="single" w:sz="1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325" w:type="dxa"/>
            <w:tcBorders>
              <w:top w:val="single" w:sz="1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r>
      <w:tr>
        <w:trPr>
          <w:trHeight w:val="247" w:hRule="atLeast"/>
        </w:trPr>
        <w:tc>
          <w:tcPr>
            <w:tcW w:w="7759"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387"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246"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325"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r>
      <w:tr>
        <w:trPr>
          <w:trHeight w:val="247" w:hRule="atLeast"/>
        </w:trPr>
        <w:tc>
          <w:tcPr>
            <w:tcW w:w="7759"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387"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246"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325"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r>
      <w:tr>
        <w:trPr>
          <w:trHeight w:val="319" w:hRule="atLeast"/>
        </w:trPr>
        <w:tc>
          <w:tcPr>
            <w:tcW w:w="7759" w:type="dxa"/>
            <w:tcBorders>
              <w:top w:val="single" w:sz="2" w:space="0" w:color="000000"/>
              <w:start w:val="single" w:sz="2" w:space="0" w:color="000000"/>
              <w:bottom w:val="single" w:sz="2" w:space="0" w:color="000000"/>
              <w:end w:val="single" w:sz="2" w:space="0" w:color="000000"/>
            </w:tcBorders>
          </w:tcPr>
          <w:p>
            <w:pPr>
              <w:pStyle w:val="Normal"/>
              <w:autoSpaceDE w:val="false"/>
              <w:rPr>
                <w:rFonts w:ascii="MS Sans Serif" w:hAnsi="MS Sans Serif" w:cs="MS Sans Serif"/>
                <w:b/>
                <w:color w:val="008000"/>
                <w:sz w:val="20"/>
              </w:rPr>
            </w:pPr>
            <w:r>
              <w:rPr>
                <w:rFonts w:cs="MS Sans Serif" w:ascii="MS Sans Serif" w:hAnsi="MS Sans Serif"/>
                <w:b/>
                <w:color w:val="008000"/>
                <w:sz w:val="20"/>
              </w:rPr>
              <w:t>Capital expenditure commitments for South Padre Line:</w:t>
            </w:r>
          </w:p>
        </w:tc>
        <w:tc>
          <w:tcPr>
            <w:tcW w:w="1387"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MS Sans Serif" w:hAnsi="MS Sans Serif" w:cs="MS Sans Serif"/>
                <w:b/>
                <w:color w:val="000000"/>
                <w:sz w:val="20"/>
              </w:rPr>
            </w:pPr>
            <w:r>
              <w:rPr>
                <w:rFonts w:cs="MS Sans Serif" w:ascii="MS Sans Serif" w:hAnsi="MS Sans Serif"/>
                <w:b/>
                <w:color w:val="000000"/>
                <w:sz w:val="20"/>
              </w:rPr>
            </w:r>
          </w:p>
        </w:tc>
        <w:tc>
          <w:tcPr>
            <w:tcW w:w="1246"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MS Sans Serif" w:hAnsi="MS Sans Serif" w:cs="MS Sans Serif"/>
                <w:color w:val="000000"/>
                <w:sz w:val="20"/>
              </w:rPr>
            </w:pPr>
            <w:r>
              <w:rPr>
                <w:rFonts w:cs="MS Sans Serif" w:ascii="MS Sans Serif" w:hAnsi="MS Sans Serif"/>
                <w:color w:val="000000"/>
                <w:sz w:val="20"/>
              </w:rPr>
            </w:r>
          </w:p>
        </w:tc>
        <w:tc>
          <w:tcPr>
            <w:tcW w:w="1325"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MS Sans Serif" w:hAnsi="MS Sans Serif" w:cs="MS Sans Serif"/>
                <w:color w:val="000000"/>
                <w:sz w:val="20"/>
                <w:u w:val="single"/>
              </w:rPr>
            </w:pPr>
            <w:r>
              <w:rPr>
                <w:rFonts w:cs="MS Sans Serif" w:ascii="MS Sans Serif" w:hAnsi="MS Sans Serif"/>
                <w:color w:val="000000"/>
                <w:sz w:val="20"/>
                <w:u w:val="single"/>
              </w:rPr>
            </w:r>
          </w:p>
        </w:tc>
      </w:tr>
      <w:tr>
        <w:trPr>
          <w:trHeight w:val="305" w:hRule="atLeast"/>
        </w:trPr>
        <w:tc>
          <w:tcPr>
            <w:tcW w:w="7759" w:type="dxa"/>
            <w:tcBorders>
              <w:top w:val="single" w:sz="2" w:space="0" w:color="000000"/>
              <w:start w:val="single" w:sz="2" w:space="0" w:color="000000"/>
              <w:bottom w:val="single" w:sz="2" w:space="0" w:color="000000"/>
              <w:end w:val="single" w:sz="2" w:space="0" w:color="000000"/>
            </w:tcBorders>
          </w:tcPr>
          <w:p>
            <w:pPr>
              <w:pStyle w:val="Normal"/>
              <w:autoSpaceDE w:val="false"/>
              <w:rPr>
                <w:rFonts w:ascii="MS Sans Serif" w:hAnsi="MS Sans Serif" w:cs="MS Sans Serif"/>
                <w:color w:val="000000"/>
                <w:sz w:val="20"/>
              </w:rPr>
            </w:pPr>
            <w:r>
              <w:rPr>
                <w:rFonts w:cs="MS Sans Serif" w:ascii="MS Sans Serif" w:hAnsi="MS Sans Serif"/>
                <w:color w:val="000000"/>
                <w:sz w:val="20"/>
              </w:rPr>
              <w:t>20" S. Padre Island Modification</w:t>
            </w:r>
          </w:p>
        </w:tc>
        <w:tc>
          <w:tcPr>
            <w:tcW w:w="1387"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MS Sans Serif" w:hAnsi="MS Sans Serif" w:cs="MS Sans Serif"/>
                <w:color w:val="000000"/>
                <w:sz w:val="20"/>
              </w:rPr>
            </w:pPr>
            <w:r>
              <w:rPr>
                <w:rFonts w:cs="MS Sans Serif" w:ascii="MS Sans Serif" w:hAnsi="MS Sans Serif"/>
                <w:color w:val="000000"/>
                <w:sz w:val="20"/>
              </w:rPr>
              <w:t xml:space="preserve">952,073 </w:t>
            </w:r>
          </w:p>
        </w:tc>
        <w:tc>
          <w:tcPr>
            <w:tcW w:w="1246"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MS Sans Serif" w:hAnsi="MS Sans Serif" w:cs="MS Sans Serif"/>
                <w:color w:val="000000"/>
                <w:sz w:val="20"/>
              </w:rPr>
            </w:pPr>
            <w:r>
              <w:rPr>
                <w:rFonts w:cs="MS Sans Serif" w:ascii="MS Sans Serif" w:hAnsi="MS Sans Serif"/>
                <w:color w:val="000000"/>
                <w:sz w:val="20"/>
              </w:rPr>
              <w:t xml:space="preserve">0 </w:t>
            </w:r>
          </w:p>
        </w:tc>
        <w:tc>
          <w:tcPr>
            <w:tcW w:w="1325"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MS Sans Serif" w:hAnsi="MS Sans Serif" w:cs="MS Sans Serif"/>
                <w:color w:val="000000"/>
                <w:sz w:val="20"/>
              </w:rPr>
            </w:pPr>
            <w:r>
              <w:rPr>
                <w:rFonts w:eastAsia="MS Sans Serif" w:cs="MS Sans Serif" w:ascii="MS Sans Serif" w:hAnsi="MS Sans Serif"/>
                <w:color w:val="000000"/>
                <w:sz w:val="20"/>
              </w:rPr>
              <w:t xml:space="preserve">          </w:t>
            </w:r>
            <w:r>
              <w:rPr>
                <w:rFonts w:cs="MS Sans Serif" w:ascii="MS Sans Serif" w:hAnsi="MS Sans Serif"/>
                <w:color w:val="000000"/>
                <w:sz w:val="20"/>
              </w:rPr>
              <w:t xml:space="preserve">952,073 </w:t>
            </w:r>
          </w:p>
        </w:tc>
      </w:tr>
      <w:tr>
        <w:trPr>
          <w:trHeight w:val="305" w:hRule="atLeast"/>
        </w:trPr>
        <w:tc>
          <w:tcPr>
            <w:tcW w:w="7759" w:type="dxa"/>
            <w:tcBorders>
              <w:top w:val="single" w:sz="2" w:space="0" w:color="000000"/>
              <w:start w:val="single" w:sz="2" w:space="0" w:color="000000"/>
              <w:bottom w:val="single" w:sz="2" w:space="0" w:color="000000"/>
              <w:end w:val="single" w:sz="2" w:space="0" w:color="000000"/>
            </w:tcBorders>
          </w:tcPr>
          <w:p>
            <w:pPr>
              <w:pStyle w:val="Normal"/>
              <w:autoSpaceDE w:val="false"/>
              <w:rPr>
                <w:rFonts w:ascii="MS Sans Serif" w:hAnsi="MS Sans Serif" w:cs="MS Sans Serif"/>
                <w:color w:val="000000"/>
                <w:sz w:val="20"/>
              </w:rPr>
            </w:pPr>
            <w:r>
              <w:rPr>
                <w:rFonts w:cs="MS Sans Serif" w:ascii="MS Sans Serif" w:hAnsi="MS Sans Serif"/>
                <w:color w:val="000000"/>
                <w:sz w:val="20"/>
              </w:rPr>
              <w:t xml:space="preserve">Lehman Dehy Site Modification - 20" #1369 - Tie 20" into 12" #3075 </w:t>
            </w:r>
          </w:p>
        </w:tc>
        <w:tc>
          <w:tcPr>
            <w:tcW w:w="1387"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MS Sans Serif" w:hAnsi="MS Sans Serif" w:cs="MS Sans Serif"/>
                <w:color w:val="000000"/>
                <w:sz w:val="20"/>
              </w:rPr>
            </w:pPr>
            <w:r>
              <w:rPr>
                <w:rFonts w:cs="MS Sans Serif" w:ascii="MS Sans Serif" w:hAnsi="MS Sans Serif"/>
                <w:color w:val="000000"/>
                <w:sz w:val="20"/>
              </w:rPr>
              <w:t xml:space="preserve">55,488 </w:t>
            </w:r>
          </w:p>
        </w:tc>
        <w:tc>
          <w:tcPr>
            <w:tcW w:w="1246"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MS Sans Serif" w:hAnsi="MS Sans Serif" w:cs="MS Sans Serif"/>
                <w:color w:val="000000"/>
                <w:sz w:val="20"/>
              </w:rPr>
            </w:pPr>
            <w:r>
              <w:rPr>
                <w:rFonts w:cs="MS Sans Serif" w:ascii="MS Sans Serif" w:hAnsi="MS Sans Serif"/>
                <w:color w:val="000000"/>
                <w:sz w:val="20"/>
              </w:rPr>
              <w:t xml:space="preserve">18,613 </w:t>
            </w:r>
          </w:p>
        </w:tc>
        <w:tc>
          <w:tcPr>
            <w:tcW w:w="1325"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MS Sans Serif" w:hAnsi="MS Sans Serif" w:cs="MS Sans Serif"/>
                <w:color w:val="000000"/>
                <w:sz w:val="20"/>
              </w:rPr>
            </w:pPr>
            <w:r>
              <w:rPr>
                <w:rFonts w:eastAsia="MS Sans Serif" w:cs="MS Sans Serif" w:ascii="MS Sans Serif" w:hAnsi="MS Sans Serif"/>
                <w:color w:val="000000"/>
                <w:sz w:val="20"/>
              </w:rPr>
              <w:t xml:space="preserve">            </w:t>
            </w:r>
            <w:r>
              <w:rPr>
                <w:rFonts w:cs="MS Sans Serif" w:ascii="MS Sans Serif" w:hAnsi="MS Sans Serif"/>
                <w:color w:val="000000"/>
                <w:sz w:val="20"/>
              </w:rPr>
              <w:t xml:space="preserve">36,875 </w:t>
            </w:r>
          </w:p>
        </w:tc>
      </w:tr>
      <w:tr>
        <w:trPr>
          <w:trHeight w:val="305" w:hRule="atLeast"/>
        </w:trPr>
        <w:tc>
          <w:tcPr>
            <w:tcW w:w="7759" w:type="dxa"/>
            <w:tcBorders>
              <w:top w:val="single" w:sz="2" w:space="0" w:color="000000"/>
              <w:start w:val="single" w:sz="2" w:space="0" w:color="000000"/>
              <w:bottom w:val="single" w:sz="2" w:space="0" w:color="000000"/>
              <w:end w:val="single" w:sz="2" w:space="0" w:color="000000"/>
            </w:tcBorders>
          </w:tcPr>
          <w:p>
            <w:pPr>
              <w:pStyle w:val="Normal"/>
              <w:autoSpaceDE w:val="false"/>
              <w:rPr>
                <w:rFonts w:ascii="MS Sans Serif" w:hAnsi="MS Sans Serif" w:cs="MS Sans Serif"/>
                <w:color w:val="000000"/>
                <w:sz w:val="20"/>
              </w:rPr>
            </w:pPr>
            <w:r>
              <w:rPr>
                <w:rFonts w:cs="MS Sans Serif" w:ascii="MS Sans Serif" w:hAnsi="MS Sans Serif"/>
                <w:color w:val="000000"/>
                <w:sz w:val="20"/>
              </w:rPr>
              <w:t xml:space="preserve">Lehman Dehy Site Modifications-12" #3075 </w:t>
            </w:r>
          </w:p>
        </w:tc>
        <w:tc>
          <w:tcPr>
            <w:tcW w:w="1387"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MS Sans Serif" w:hAnsi="MS Sans Serif" w:cs="MS Sans Serif"/>
                <w:color w:val="000000"/>
                <w:sz w:val="20"/>
              </w:rPr>
            </w:pPr>
            <w:r>
              <w:rPr>
                <w:rFonts w:cs="MS Sans Serif" w:ascii="MS Sans Serif" w:hAnsi="MS Sans Serif"/>
                <w:color w:val="000000"/>
                <w:sz w:val="20"/>
              </w:rPr>
              <w:t xml:space="preserve">208,564 </w:t>
            </w:r>
          </w:p>
        </w:tc>
        <w:tc>
          <w:tcPr>
            <w:tcW w:w="1246"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MS Sans Serif" w:hAnsi="MS Sans Serif" w:cs="MS Sans Serif"/>
                <w:color w:val="000000"/>
                <w:sz w:val="20"/>
              </w:rPr>
            </w:pPr>
            <w:r>
              <w:rPr>
                <w:rFonts w:cs="MS Sans Serif" w:ascii="MS Sans Serif" w:hAnsi="MS Sans Serif"/>
                <w:color w:val="000000"/>
                <w:sz w:val="20"/>
              </w:rPr>
              <w:t xml:space="preserve">30,538 </w:t>
            </w:r>
          </w:p>
        </w:tc>
        <w:tc>
          <w:tcPr>
            <w:tcW w:w="1325"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MS Sans Serif" w:hAnsi="MS Sans Serif" w:cs="MS Sans Serif"/>
                <w:color w:val="000000"/>
                <w:sz w:val="20"/>
              </w:rPr>
            </w:pPr>
            <w:r>
              <w:rPr>
                <w:rFonts w:eastAsia="MS Sans Serif" w:cs="MS Sans Serif" w:ascii="MS Sans Serif" w:hAnsi="MS Sans Serif"/>
                <w:color w:val="000000"/>
                <w:sz w:val="20"/>
              </w:rPr>
              <w:t xml:space="preserve">          </w:t>
            </w:r>
            <w:r>
              <w:rPr>
                <w:rFonts w:cs="MS Sans Serif" w:ascii="MS Sans Serif" w:hAnsi="MS Sans Serif"/>
                <w:color w:val="000000"/>
                <w:sz w:val="20"/>
              </w:rPr>
              <w:t xml:space="preserve">178,026 </w:t>
            </w:r>
          </w:p>
        </w:tc>
      </w:tr>
      <w:tr>
        <w:trPr>
          <w:trHeight w:val="305" w:hRule="atLeast"/>
        </w:trPr>
        <w:tc>
          <w:tcPr>
            <w:tcW w:w="7759" w:type="dxa"/>
            <w:tcBorders>
              <w:top w:val="single" w:sz="2" w:space="0" w:color="000000"/>
              <w:start w:val="single" w:sz="2" w:space="0" w:color="000000"/>
              <w:bottom w:val="single" w:sz="2" w:space="0" w:color="000000"/>
              <w:end w:val="single" w:sz="2" w:space="0" w:color="000000"/>
            </w:tcBorders>
          </w:tcPr>
          <w:p>
            <w:pPr>
              <w:pStyle w:val="Normal"/>
              <w:autoSpaceDE w:val="false"/>
              <w:rPr>
                <w:rFonts w:ascii="MS Sans Serif" w:hAnsi="MS Sans Serif" w:cs="MS Sans Serif"/>
                <w:color w:val="000000"/>
                <w:sz w:val="20"/>
              </w:rPr>
            </w:pPr>
            <w:r>
              <w:rPr>
                <w:rFonts w:cs="MS Sans Serif" w:ascii="MS Sans Serif" w:hAnsi="MS Sans Serif"/>
                <w:color w:val="000000"/>
                <w:sz w:val="20"/>
              </w:rPr>
              <w:t>MAC - Vector Site - Spinnaker Project - Remove 16" sr orifice mter tube and valves</w:t>
            </w:r>
          </w:p>
        </w:tc>
        <w:tc>
          <w:tcPr>
            <w:tcW w:w="1387"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MS Sans Serif" w:hAnsi="MS Sans Serif" w:cs="MS Sans Serif"/>
                <w:color w:val="000000"/>
                <w:sz w:val="20"/>
              </w:rPr>
            </w:pPr>
            <w:r>
              <w:rPr>
                <w:rFonts w:cs="MS Sans Serif" w:ascii="MS Sans Serif" w:hAnsi="MS Sans Serif"/>
                <w:color w:val="000000"/>
                <w:sz w:val="20"/>
              </w:rPr>
              <w:t xml:space="preserve">2,000 </w:t>
            </w:r>
          </w:p>
        </w:tc>
        <w:tc>
          <w:tcPr>
            <w:tcW w:w="1246"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MS Sans Serif" w:hAnsi="MS Sans Serif" w:cs="MS Sans Serif"/>
                <w:color w:val="000000"/>
                <w:sz w:val="20"/>
              </w:rPr>
            </w:pPr>
            <w:r>
              <w:rPr>
                <w:rFonts w:cs="MS Sans Serif" w:ascii="MS Sans Serif" w:hAnsi="MS Sans Serif"/>
                <w:color w:val="000000"/>
                <w:sz w:val="20"/>
              </w:rPr>
              <w:t xml:space="preserve">102 </w:t>
            </w:r>
          </w:p>
        </w:tc>
        <w:tc>
          <w:tcPr>
            <w:tcW w:w="1325"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MS Sans Serif" w:hAnsi="MS Sans Serif" w:cs="MS Sans Serif"/>
                <w:color w:val="000000"/>
                <w:sz w:val="20"/>
              </w:rPr>
            </w:pPr>
            <w:r>
              <w:rPr>
                <w:rFonts w:eastAsia="MS Sans Serif" w:cs="MS Sans Serif" w:ascii="MS Sans Serif" w:hAnsi="MS Sans Serif"/>
                <w:color w:val="000000"/>
                <w:sz w:val="20"/>
              </w:rPr>
              <w:t xml:space="preserve">               </w:t>
            </w:r>
            <w:r>
              <w:rPr>
                <w:rFonts w:cs="MS Sans Serif" w:ascii="MS Sans Serif" w:hAnsi="MS Sans Serif"/>
                <w:color w:val="000000"/>
                <w:sz w:val="20"/>
              </w:rPr>
              <w:t xml:space="preserve">1,898 </w:t>
            </w:r>
          </w:p>
        </w:tc>
      </w:tr>
      <w:tr>
        <w:trPr>
          <w:trHeight w:val="305" w:hRule="atLeast"/>
        </w:trPr>
        <w:tc>
          <w:tcPr>
            <w:tcW w:w="7759" w:type="dxa"/>
            <w:tcBorders>
              <w:top w:val="single" w:sz="2" w:space="0" w:color="000000"/>
              <w:start w:val="single" w:sz="2" w:space="0" w:color="000000"/>
              <w:bottom w:val="single" w:sz="2" w:space="0" w:color="000000"/>
              <w:end w:val="single" w:sz="2" w:space="0" w:color="000000"/>
            </w:tcBorders>
          </w:tcPr>
          <w:p>
            <w:pPr>
              <w:pStyle w:val="Normal"/>
              <w:autoSpaceDE w:val="false"/>
              <w:rPr>
                <w:rFonts w:ascii="MS Sans Serif" w:hAnsi="MS Sans Serif" w:cs="MS Sans Serif"/>
                <w:color w:val="000000"/>
                <w:sz w:val="20"/>
              </w:rPr>
            </w:pPr>
            <w:r>
              <w:rPr>
                <w:rFonts w:cs="MS Sans Serif" w:ascii="MS Sans Serif" w:hAnsi="MS Sans Serif"/>
                <w:color w:val="000000"/>
                <w:sz w:val="20"/>
              </w:rPr>
              <w:t>Vector Site-Spinnaker Project - Inst slug sep, tanks, orifice mtr run, 16" dehy valving</w:t>
            </w:r>
          </w:p>
        </w:tc>
        <w:tc>
          <w:tcPr>
            <w:tcW w:w="1387"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MS Sans Serif" w:hAnsi="MS Sans Serif" w:cs="MS Sans Serif"/>
                <w:color w:val="000000"/>
                <w:sz w:val="20"/>
              </w:rPr>
            </w:pPr>
            <w:r>
              <w:rPr>
                <w:rFonts w:cs="MS Sans Serif" w:ascii="MS Sans Serif" w:hAnsi="MS Sans Serif"/>
                <w:color w:val="000000"/>
                <w:sz w:val="20"/>
              </w:rPr>
              <w:t xml:space="preserve">815,000 </w:t>
            </w:r>
          </w:p>
        </w:tc>
        <w:tc>
          <w:tcPr>
            <w:tcW w:w="1246"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MS Sans Serif" w:hAnsi="MS Sans Serif" w:cs="MS Sans Serif"/>
                <w:color w:val="000000"/>
                <w:sz w:val="20"/>
              </w:rPr>
            </w:pPr>
            <w:r>
              <w:rPr>
                <w:rFonts w:cs="MS Sans Serif" w:ascii="MS Sans Serif" w:hAnsi="MS Sans Serif"/>
                <w:color w:val="000000"/>
                <w:sz w:val="20"/>
              </w:rPr>
              <w:t xml:space="preserve">152,534 </w:t>
            </w:r>
          </w:p>
        </w:tc>
        <w:tc>
          <w:tcPr>
            <w:tcW w:w="1325"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MS Sans Serif" w:hAnsi="MS Sans Serif" w:cs="MS Sans Serif"/>
                <w:color w:val="000000"/>
                <w:sz w:val="20"/>
              </w:rPr>
            </w:pPr>
            <w:r>
              <w:rPr>
                <w:rFonts w:eastAsia="MS Sans Serif" w:cs="MS Sans Serif" w:ascii="MS Sans Serif" w:hAnsi="MS Sans Serif"/>
                <w:color w:val="000000"/>
                <w:sz w:val="20"/>
              </w:rPr>
              <w:t xml:space="preserve">          </w:t>
            </w:r>
            <w:r>
              <w:rPr>
                <w:rFonts w:cs="MS Sans Serif" w:ascii="MS Sans Serif" w:hAnsi="MS Sans Serif"/>
                <w:color w:val="000000"/>
                <w:sz w:val="20"/>
              </w:rPr>
              <w:t xml:space="preserve">662,466 </w:t>
            </w:r>
          </w:p>
        </w:tc>
      </w:tr>
      <w:tr>
        <w:trPr>
          <w:trHeight w:val="305" w:hRule="atLeast"/>
        </w:trPr>
        <w:tc>
          <w:tcPr>
            <w:tcW w:w="7759" w:type="dxa"/>
            <w:tcBorders>
              <w:top w:val="single" w:sz="2" w:space="0" w:color="000000"/>
              <w:start w:val="single" w:sz="2" w:space="0" w:color="000000"/>
              <w:bottom w:val="single" w:sz="2" w:space="0" w:color="000000"/>
              <w:end w:val="single" w:sz="2" w:space="0" w:color="000000"/>
            </w:tcBorders>
          </w:tcPr>
          <w:p>
            <w:pPr>
              <w:pStyle w:val="Normal"/>
              <w:autoSpaceDE w:val="false"/>
              <w:rPr>
                <w:rFonts w:ascii="MS Sans Serif" w:hAnsi="MS Sans Serif" w:cs="MS Sans Serif"/>
                <w:color w:val="000000"/>
                <w:sz w:val="20"/>
              </w:rPr>
            </w:pPr>
            <w:r>
              <w:rPr>
                <w:rFonts w:cs="MS Sans Serif" w:ascii="MS Sans Serif" w:hAnsi="MS Sans Serif"/>
                <w:color w:val="000000"/>
                <w:sz w:val="20"/>
              </w:rPr>
              <w:t>Block 883 - 10" Gathering Line - Reimburse Spinnaker 1.3 M</w:t>
            </w:r>
          </w:p>
        </w:tc>
        <w:tc>
          <w:tcPr>
            <w:tcW w:w="1387"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MS Sans Serif" w:hAnsi="MS Sans Serif" w:cs="MS Sans Serif"/>
                <w:color w:val="000000"/>
                <w:sz w:val="20"/>
              </w:rPr>
            </w:pPr>
            <w:r>
              <w:rPr>
                <w:rFonts w:cs="MS Sans Serif" w:ascii="MS Sans Serif" w:hAnsi="MS Sans Serif"/>
                <w:color w:val="000000"/>
                <w:sz w:val="20"/>
              </w:rPr>
              <w:t xml:space="preserve">1,326,000 </w:t>
            </w:r>
          </w:p>
        </w:tc>
        <w:tc>
          <w:tcPr>
            <w:tcW w:w="1246"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MS Sans Serif" w:hAnsi="MS Sans Serif" w:cs="MS Sans Serif"/>
                <w:color w:val="000000"/>
                <w:sz w:val="20"/>
              </w:rPr>
            </w:pPr>
            <w:r>
              <w:rPr>
                <w:rFonts w:cs="MS Sans Serif" w:ascii="MS Sans Serif" w:hAnsi="MS Sans Serif"/>
                <w:color w:val="000000"/>
                <w:sz w:val="20"/>
              </w:rPr>
              <w:t xml:space="preserve">0 </w:t>
            </w:r>
          </w:p>
        </w:tc>
        <w:tc>
          <w:tcPr>
            <w:tcW w:w="1325"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MS Sans Serif" w:hAnsi="MS Sans Serif" w:cs="MS Sans Serif"/>
                <w:color w:val="000000"/>
                <w:sz w:val="20"/>
              </w:rPr>
            </w:pPr>
            <w:r>
              <w:rPr>
                <w:rFonts w:eastAsia="MS Sans Serif" w:cs="MS Sans Serif" w:ascii="MS Sans Serif" w:hAnsi="MS Sans Serif"/>
                <w:color w:val="000000"/>
                <w:sz w:val="20"/>
              </w:rPr>
              <w:t xml:space="preserve">       </w:t>
            </w:r>
            <w:r>
              <w:rPr>
                <w:rFonts w:cs="MS Sans Serif" w:ascii="MS Sans Serif" w:hAnsi="MS Sans Serif"/>
                <w:color w:val="000000"/>
                <w:sz w:val="20"/>
              </w:rPr>
              <w:t xml:space="preserve">1,326,000 </w:t>
            </w:r>
          </w:p>
        </w:tc>
      </w:tr>
      <w:tr>
        <w:trPr>
          <w:trHeight w:val="305" w:hRule="atLeast"/>
        </w:trPr>
        <w:tc>
          <w:tcPr>
            <w:tcW w:w="7759" w:type="dxa"/>
            <w:tcBorders>
              <w:top w:val="single" w:sz="2" w:space="0" w:color="000000"/>
              <w:start w:val="single" w:sz="2" w:space="0" w:color="000000"/>
              <w:bottom w:val="single" w:sz="2" w:space="0" w:color="000000"/>
              <w:end w:val="single" w:sz="2" w:space="0" w:color="000000"/>
            </w:tcBorders>
          </w:tcPr>
          <w:p>
            <w:pPr>
              <w:pStyle w:val="Normal"/>
              <w:autoSpaceDE w:val="false"/>
              <w:rPr>
                <w:rFonts w:ascii="MS Sans Serif" w:hAnsi="MS Sans Serif" w:cs="MS Sans Serif"/>
                <w:color w:val="000000"/>
                <w:sz w:val="20"/>
              </w:rPr>
            </w:pPr>
            <w:r>
              <w:rPr>
                <w:rFonts w:cs="MS Sans Serif" w:ascii="MS Sans Serif" w:hAnsi="MS Sans Serif"/>
                <w:color w:val="000000"/>
                <w:sz w:val="20"/>
              </w:rPr>
              <w:t>Block 883 - 10" EFM Installation / Inspection</w:t>
            </w:r>
          </w:p>
        </w:tc>
        <w:tc>
          <w:tcPr>
            <w:tcW w:w="1387"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MS Sans Serif" w:hAnsi="MS Sans Serif" w:cs="MS Sans Serif"/>
                <w:color w:val="000000"/>
                <w:sz w:val="20"/>
              </w:rPr>
            </w:pPr>
            <w:r>
              <w:rPr>
                <w:rFonts w:cs="MS Sans Serif" w:ascii="MS Sans Serif" w:hAnsi="MS Sans Serif"/>
                <w:color w:val="000000"/>
                <w:sz w:val="20"/>
              </w:rPr>
              <w:t xml:space="preserve">56,000 </w:t>
            </w:r>
          </w:p>
        </w:tc>
        <w:tc>
          <w:tcPr>
            <w:tcW w:w="1246"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MS Sans Serif" w:hAnsi="MS Sans Serif" w:cs="MS Sans Serif"/>
                <w:color w:val="000000"/>
                <w:sz w:val="20"/>
              </w:rPr>
            </w:pPr>
            <w:r>
              <w:rPr>
                <w:rFonts w:cs="MS Sans Serif" w:ascii="MS Sans Serif" w:hAnsi="MS Sans Serif"/>
                <w:color w:val="000000"/>
                <w:sz w:val="20"/>
              </w:rPr>
              <w:t xml:space="preserve">0 </w:t>
            </w:r>
          </w:p>
        </w:tc>
        <w:tc>
          <w:tcPr>
            <w:tcW w:w="1325" w:type="dxa"/>
            <w:tcBorders>
              <w:top w:val="single" w:sz="2" w:space="0" w:color="000000"/>
              <w:start w:val="single" w:sz="2" w:space="0" w:color="000000"/>
              <w:bottom w:val="single" w:sz="2" w:space="0" w:color="000000"/>
              <w:end w:val="single" w:sz="2" w:space="0" w:color="000000"/>
            </w:tcBorders>
          </w:tcPr>
          <w:p>
            <w:pPr>
              <w:pStyle w:val="Normal"/>
              <w:autoSpaceDE w:val="false"/>
              <w:jc w:val="end"/>
              <w:rPr>
                <w:rFonts w:ascii="MS Sans Serif" w:hAnsi="MS Sans Serif" w:cs="MS Sans Serif"/>
                <w:color w:val="000000"/>
                <w:sz w:val="20"/>
              </w:rPr>
            </w:pPr>
            <w:r>
              <w:rPr>
                <w:rFonts w:eastAsia="MS Sans Serif" w:cs="MS Sans Serif" w:ascii="MS Sans Serif" w:hAnsi="MS Sans Serif"/>
                <w:color w:val="000000"/>
                <w:sz w:val="20"/>
              </w:rPr>
              <w:t xml:space="preserve">            </w:t>
            </w:r>
            <w:r>
              <w:rPr>
                <w:rFonts w:cs="MS Sans Serif" w:ascii="MS Sans Serif" w:hAnsi="MS Sans Serif"/>
                <w:color w:val="000000"/>
                <w:sz w:val="20"/>
              </w:rPr>
              <w:t xml:space="preserve">56,000 </w:t>
            </w:r>
          </w:p>
        </w:tc>
      </w:tr>
      <w:tr>
        <w:trPr>
          <w:trHeight w:val="305" w:hRule="atLeast"/>
        </w:trPr>
        <w:tc>
          <w:tcPr>
            <w:tcW w:w="7759" w:type="dxa"/>
            <w:tcBorders>
              <w:top w:val="single" w:sz="2" w:space="0" w:color="000000"/>
              <w:start w:val="single" w:sz="2" w:space="0" w:color="000000"/>
              <w:bottom w:val="single" w:sz="2" w:space="0" w:color="000000"/>
              <w:end w:val="single" w:sz="2" w:space="0" w:color="000000"/>
            </w:tcBorders>
          </w:tcPr>
          <w:p>
            <w:pPr>
              <w:pStyle w:val="Normal"/>
              <w:autoSpaceDE w:val="false"/>
              <w:rPr>
                <w:rFonts w:ascii="MS Sans Serif" w:hAnsi="MS Sans Serif" w:cs="MS Sans Serif"/>
                <w:color w:val="000000"/>
                <w:sz w:val="20"/>
              </w:rPr>
            </w:pPr>
            <w:r>
              <w:rPr>
                <w:rFonts w:cs="MS Sans Serif" w:ascii="MS Sans Serif" w:hAnsi="MS Sans Serif"/>
                <w:color w:val="000000"/>
                <w:sz w:val="20"/>
              </w:rPr>
              <w:t xml:space="preserve">20" South Padre #1601 Cleaning </w:t>
            </w:r>
          </w:p>
        </w:tc>
        <w:tc>
          <w:tcPr>
            <w:tcW w:w="1387" w:type="dxa"/>
            <w:tcBorders>
              <w:top w:val="single" w:sz="2" w:space="0" w:color="000000"/>
              <w:start w:val="single" w:sz="2" w:space="0" w:color="000000"/>
              <w:bottom w:val="single" w:sz="6" w:space="0" w:color="000000"/>
              <w:end w:val="single" w:sz="2" w:space="0" w:color="000000"/>
            </w:tcBorders>
          </w:tcPr>
          <w:p>
            <w:pPr>
              <w:pStyle w:val="Normal"/>
              <w:autoSpaceDE w:val="false"/>
              <w:jc w:val="end"/>
              <w:rPr>
                <w:rFonts w:ascii="MS Sans Serif" w:hAnsi="MS Sans Serif" w:cs="MS Sans Serif"/>
                <w:color w:val="000000"/>
                <w:sz w:val="20"/>
              </w:rPr>
            </w:pPr>
            <w:r>
              <w:rPr>
                <w:rFonts w:cs="MS Sans Serif" w:ascii="MS Sans Serif" w:hAnsi="MS Sans Serif"/>
                <w:color w:val="000000"/>
                <w:sz w:val="20"/>
              </w:rPr>
              <w:t xml:space="preserve">2,109,125 </w:t>
            </w:r>
          </w:p>
        </w:tc>
        <w:tc>
          <w:tcPr>
            <w:tcW w:w="1246" w:type="dxa"/>
            <w:tcBorders>
              <w:top w:val="single" w:sz="2" w:space="0" w:color="000000"/>
              <w:start w:val="single" w:sz="2" w:space="0" w:color="000000"/>
              <w:bottom w:val="single" w:sz="6" w:space="0" w:color="000000"/>
              <w:end w:val="single" w:sz="2" w:space="0" w:color="000000"/>
            </w:tcBorders>
          </w:tcPr>
          <w:p>
            <w:pPr>
              <w:pStyle w:val="Normal"/>
              <w:autoSpaceDE w:val="false"/>
              <w:jc w:val="end"/>
              <w:rPr>
                <w:rFonts w:ascii="MS Sans Serif" w:hAnsi="MS Sans Serif" w:cs="MS Sans Serif"/>
                <w:color w:val="000000"/>
                <w:sz w:val="20"/>
              </w:rPr>
            </w:pPr>
            <w:r>
              <w:rPr>
                <w:rFonts w:cs="MS Sans Serif" w:ascii="MS Sans Serif" w:hAnsi="MS Sans Serif"/>
                <w:color w:val="000000"/>
                <w:sz w:val="20"/>
              </w:rPr>
              <w:t xml:space="preserve">607,679 </w:t>
            </w:r>
          </w:p>
        </w:tc>
        <w:tc>
          <w:tcPr>
            <w:tcW w:w="1325" w:type="dxa"/>
            <w:tcBorders>
              <w:top w:val="single" w:sz="2" w:space="0" w:color="000000"/>
              <w:start w:val="single" w:sz="2" w:space="0" w:color="000000"/>
              <w:bottom w:val="single" w:sz="6" w:space="0" w:color="000000"/>
              <w:end w:val="single" w:sz="2" w:space="0" w:color="000000"/>
            </w:tcBorders>
          </w:tcPr>
          <w:p>
            <w:pPr>
              <w:pStyle w:val="Normal"/>
              <w:autoSpaceDE w:val="false"/>
              <w:jc w:val="end"/>
              <w:rPr>
                <w:rFonts w:ascii="MS Sans Serif" w:hAnsi="MS Sans Serif" w:cs="MS Sans Serif"/>
                <w:color w:val="000000"/>
                <w:sz w:val="20"/>
              </w:rPr>
            </w:pPr>
            <w:r>
              <w:rPr>
                <w:rFonts w:eastAsia="MS Sans Serif" w:cs="MS Sans Serif" w:ascii="MS Sans Serif" w:hAnsi="MS Sans Serif"/>
                <w:color w:val="000000"/>
                <w:sz w:val="20"/>
              </w:rPr>
              <w:t xml:space="preserve">       </w:t>
            </w:r>
            <w:r>
              <w:rPr>
                <w:rFonts w:cs="MS Sans Serif" w:ascii="MS Sans Serif" w:hAnsi="MS Sans Serif"/>
                <w:color w:val="000000"/>
                <w:sz w:val="20"/>
              </w:rPr>
              <w:t xml:space="preserve">1,501,446 </w:t>
            </w:r>
          </w:p>
        </w:tc>
      </w:tr>
      <w:tr>
        <w:trPr>
          <w:trHeight w:val="262" w:hRule="atLeast"/>
        </w:trPr>
        <w:tc>
          <w:tcPr>
            <w:tcW w:w="7759" w:type="dxa"/>
            <w:tcBorders>
              <w:top w:val="single" w:sz="2" w:space="0" w:color="000000"/>
              <w:start w:val="single" w:sz="2" w:space="0" w:color="000000"/>
              <w:bottom w:val="single" w:sz="2" w:space="0" w:color="000000"/>
              <w:end w:val="single" w:sz="2" w:space="0" w:color="000000"/>
            </w:tcBorders>
          </w:tcPr>
          <w:p>
            <w:pPr>
              <w:pStyle w:val="Normal"/>
              <w:autoSpaceDE w:val="false"/>
              <w:rPr>
                <w:rFonts w:ascii="MS Sans Serif" w:hAnsi="MS Sans Serif" w:cs="MS Sans Serif"/>
                <w:b/>
                <w:color w:val="008000"/>
                <w:sz w:val="20"/>
              </w:rPr>
            </w:pPr>
            <w:r>
              <w:rPr>
                <w:rFonts w:cs="MS Sans Serif" w:ascii="MS Sans Serif" w:hAnsi="MS Sans Serif"/>
                <w:b/>
                <w:color w:val="008000"/>
                <w:sz w:val="20"/>
              </w:rPr>
              <w:t>Capital expenditure commitments for [Houston Ship Channel]:</w:t>
            </w:r>
          </w:p>
        </w:tc>
        <w:tc>
          <w:tcPr>
            <w:tcW w:w="1387" w:type="dxa"/>
            <w:tcBorders>
              <w:top w:val="single" w:sz="6" w:space="0" w:color="000000"/>
              <w:start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1246" w:type="dxa"/>
            <w:tcBorders>
              <w:top w:val="single" w:sz="6" w:space="0" w:color="000000"/>
              <w:start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325" w:type="dxa"/>
            <w:tcBorders>
              <w:top w:val="single" w:sz="6" w:space="0" w:color="000000"/>
              <w:start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r>
      <w:tr>
        <w:trPr>
          <w:trHeight w:val="262" w:hRule="atLeast"/>
        </w:trPr>
        <w:tc>
          <w:tcPr>
            <w:tcW w:w="7759" w:type="dxa"/>
            <w:tcBorders>
              <w:top w:val="single" w:sz="2" w:space="0" w:color="000000"/>
              <w:start w:val="single" w:sz="2" w:space="0" w:color="000000"/>
              <w:bottom w:val="single" w:sz="2" w:space="0" w:color="000000"/>
            </w:tcBorders>
          </w:tcPr>
          <w:p>
            <w:pPr>
              <w:pStyle w:val="Normal"/>
              <w:autoSpaceDE w:val="false"/>
              <w:rPr>
                <w:rFonts w:ascii="MS Sans Serif" w:hAnsi="MS Sans Serif" w:cs="MS Sans Serif"/>
                <w:b/>
                <w:color w:val="008000"/>
                <w:sz w:val="20"/>
              </w:rPr>
            </w:pPr>
            <w:r>
              <w:rPr>
                <w:rFonts w:cs="MS Sans Serif" w:ascii="MS Sans Serif" w:hAnsi="MS Sans Serif"/>
                <w:color w:val="000000"/>
                <w:sz w:val="20"/>
              </w:rPr>
              <w:t>Removal of Two 12" near Alexander Island</w:t>
            </w:r>
          </w:p>
        </w:tc>
        <w:tc>
          <w:tcPr>
            <w:tcW w:w="1387" w:type="dxa"/>
            <w:tcBorders>
              <w:top w:val="single" w:sz="2" w:space="0" w:color="000000"/>
              <w:start w:val="single" w:sz="2" w:space="0" w:color="000000"/>
              <w:end w:val="single" w:sz="2" w:space="0" w:color="000000"/>
            </w:tcBorders>
          </w:tcPr>
          <w:p>
            <w:pPr>
              <w:pStyle w:val="Normal"/>
              <w:autoSpaceDE w:val="false"/>
              <w:jc w:val="end"/>
              <w:rPr>
                <w:rFonts w:ascii="Arial" w:hAnsi="Arial" w:cs="Arial"/>
                <w:color w:val="000000"/>
                <w:sz w:val="20"/>
              </w:rPr>
            </w:pPr>
            <w:r>
              <w:rPr>
                <w:rFonts w:cs="Arial" w:ascii="Arial" w:hAnsi="Arial"/>
                <w:color w:val="000000"/>
                <w:sz w:val="20"/>
              </w:rPr>
              <w:t>1,200,000</w:t>
            </w:r>
          </w:p>
        </w:tc>
        <w:tc>
          <w:tcPr>
            <w:tcW w:w="1246" w:type="dxa"/>
            <w:tcBorders>
              <w:top w:val="single" w:sz="2" w:space="0" w:color="000000"/>
              <w:start w:val="single" w:sz="2" w:space="0" w:color="000000"/>
              <w:end w:val="single" w:sz="2" w:space="0" w:color="000000"/>
            </w:tcBorders>
          </w:tcPr>
          <w:p>
            <w:pPr>
              <w:pStyle w:val="Normal"/>
              <w:autoSpaceDE w:val="false"/>
              <w:jc w:val="end"/>
              <w:rPr>
                <w:rFonts w:ascii="Arial" w:hAnsi="Arial" w:cs="Arial"/>
                <w:color w:val="000000"/>
                <w:sz w:val="20"/>
              </w:rPr>
            </w:pPr>
            <w:r>
              <w:rPr>
                <w:rFonts w:cs="Arial" w:ascii="Arial" w:hAnsi="Arial"/>
                <w:color w:val="000000"/>
                <w:sz w:val="20"/>
              </w:rPr>
              <w:t>0</w:t>
            </w:r>
          </w:p>
        </w:tc>
        <w:tc>
          <w:tcPr>
            <w:tcW w:w="1325" w:type="dxa"/>
            <w:tcBorders>
              <w:top w:val="single" w:sz="2" w:space="0" w:color="000000"/>
              <w:start w:val="single" w:sz="2" w:space="0" w:color="000000"/>
              <w:end w:val="single" w:sz="2" w:space="0" w:color="000000"/>
            </w:tcBorders>
          </w:tcPr>
          <w:p>
            <w:pPr>
              <w:pStyle w:val="Normal"/>
              <w:autoSpaceDE w:val="false"/>
              <w:jc w:val="end"/>
              <w:rPr>
                <w:rFonts w:ascii="Arial" w:hAnsi="Arial" w:cs="Arial"/>
                <w:color w:val="000000"/>
                <w:sz w:val="20"/>
              </w:rPr>
            </w:pPr>
            <w:r>
              <w:rPr>
                <w:rFonts w:cs="Arial" w:ascii="Arial" w:hAnsi="Arial"/>
                <w:color w:val="000000"/>
                <w:sz w:val="20"/>
              </w:rPr>
              <w:t>1,200,000</w:t>
            </w:r>
          </w:p>
        </w:tc>
      </w:tr>
      <w:tr>
        <w:trPr>
          <w:trHeight w:val="262" w:hRule="atLeast"/>
        </w:trPr>
        <w:tc>
          <w:tcPr>
            <w:tcW w:w="7759" w:type="dxa"/>
            <w:tcBorders>
              <w:top w:val="single" w:sz="2" w:space="0" w:color="000000"/>
              <w:start w:val="single" w:sz="2" w:space="0" w:color="000000"/>
              <w:bottom w:val="single" w:sz="2" w:space="0" w:color="000000"/>
              <w:end w:val="single" w:sz="2" w:space="0" w:color="000000"/>
            </w:tcBorders>
          </w:tcPr>
          <w:p>
            <w:pPr>
              <w:pStyle w:val="Normal"/>
              <w:autoSpaceDE w:val="false"/>
              <w:rPr>
                <w:rFonts w:ascii="MS Sans Serif" w:hAnsi="MS Sans Serif" w:cs="MS Sans Serif"/>
                <w:b/>
                <w:color w:val="008000"/>
                <w:sz w:val="20"/>
              </w:rPr>
            </w:pPr>
            <w:r>
              <w:rPr>
                <w:rFonts w:cs="MS Sans Serif" w:ascii="MS Sans Serif" w:hAnsi="MS Sans Serif"/>
                <w:b/>
                <w:color w:val="008000"/>
                <w:sz w:val="20"/>
              </w:rPr>
              <w:t>Total</w:t>
            </w:r>
          </w:p>
        </w:tc>
        <w:tc>
          <w:tcPr>
            <w:tcW w:w="1387" w:type="dxa"/>
            <w:tcBorders>
              <w:top w:val="single" w:sz="12" w:space="0" w:color="000000"/>
              <w:start w:val="single" w:sz="2" w:space="0" w:color="000000"/>
              <w:bottom w:val="double" w:sz="6" w:space="0" w:color="000000"/>
              <w:end w:val="single" w:sz="2" w:space="0" w:color="000000"/>
            </w:tcBorders>
          </w:tcPr>
          <w:p>
            <w:pPr>
              <w:pStyle w:val="Normal"/>
              <w:autoSpaceDE w:val="false"/>
              <w:jc w:val="end"/>
              <w:rPr>
                <w:rFonts w:ascii="Arial" w:hAnsi="Arial" w:cs="Arial"/>
                <w:color w:val="000000"/>
                <w:sz w:val="20"/>
              </w:rPr>
            </w:pPr>
            <w:r>
              <w:rPr>
                <w:rFonts w:cs="Arial" w:ascii="Arial" w:hAnsi="Arial"/>
                <w:color w:val="000000"/>
                <w:sz w:val="20"/>
              </w:rPr>
              <w:t xml:space="preserve">6,724,250 </w:t>
            </w:r>
          </w:p>
        </w:tc>
        <w:tc>
          <w:tcPr>
            <w:tcW w:w="1246" w:type="dxa"/>
            <w:tcBorders>
              <w:top w:val="single" w:sz="12" w:space="0" w:color="000000"/>
              <w:start w:val="single" w:sz="2" w:space="0" w:color="000000"/>
              <w:bottom w:val="double" w:sz="6" w:space="0" w:color="000000"/>
              <w:end w:val="single" w:sz="2" w:space="0" w:color="000000"/>
            </w:tcBorders>
          </w:tcPr>
          <w:p>
            <w:pPr>
              <w:pStyle w:val="Normal"/>
              <w:autoSpaceDE w:val="false"/>
              <w:jc w:val="end"/>
              <w:rPr>
                <w:rFonts w:ascii="Arial" w:hAnsi="Arial" w:cs="Arial"/>
                <w:color w:val="000000"/>
                <w:sz w:val="20"/>
              </w:rPr>
            </w:pPr>
            <w:r>
              <w:rPr>
                <w:rFonts w:cs="Arial" w:ascii="Arial" w:hAnsi="Arial"/>
                <w:color w:val="000000"/>
                <w:sz w:val="20"/>
              </w:rPr>
              <w:t xml:space="preserve">809,466 </w:t>
            </w:r>
          </w:p>
        </w:tc>
        <w:tc>
          <w:tcPr>
            <w:tcW w:w="1325" w:type="dxa"/>
            <w:tcBorders>
              <w:top w:val="single" w:sz="12" w:space="0" w:color="000000"/>
              <w:start w:val="single" w:sz="2" w:space="0" w:color="000000"/>
              <w:bottom w:val="double" w:sz="6" w:space="0" w:color="000000"/>
              <w:end w:val="single" w:sz="2" w:space="0" w:color="000000"/>
            </w:tcBorders>
          </w:tcPr>
          <w:p>
            <w:pPr>
              <w:pStyle w:val="Normal"/>
              <w:autoSpaceDE w:val="false"/>
              <w:jc w:val="end"/>
              <w:rPr>
                <w:rFonts w:ascii="Arial" w:hAnsi="Arial" w:cs="Arial"/>
                <w:color w:val="000000"/>
                <w:sz w:val="20"/>
              </w:rPr>
            </w:pPr>
            <w:r>
              <w:rPr>
                <w:rFonts w:cs="Arial" w:ascii="Arial" w:hAnsi="Arial"/>
                <w:color w:val="000000"/>
                <w:sz w:val="20"/>
              </w:rPr>
              <w:t xml:space="preserve">5,914,784 </w:t>
            </w:r>
          </w:p>
        </w:tc>
      </w:tr>
    </w:tbl>
    <w:p>
      <w:pPr>
        <w:sectPr>
          <w:headerReference w:type="default" r:id="rId12"/>
          <w:headerReference w:type="first" r:id="rId13"/>
          <w:footerReference w:type="default" r:id="rId14"/>
          <w:footerReference w:type="first" r:id="rId15"/>
          <w:type w:val="nextPage"/>
          <w:pgSz w:orient="landscape" w:w="15840" w:h="12240"/>
          <w:pgMar w:left="1440" w:right="1440" w:gutter="0" w:header="720" w:top="1440" w:footer="720" w:bottom="1440"/>
          <w:pgNumType w:fmt="decimal"/>
          <w:formProt w:val="false"/>
          <w:textDirection w:val="lrTb"/>
          <w:docGrid w:type="default" w:linePitch="360" w:charSpace="0"/>
        </w:sectPr>
      </w:pPr>
    </w:p>
    <w:p>
      <w:pPr>
        <w:pStyle w:val="Header"/>
        <w:tabs>
          <w:tab w:val="clear" w:pos="4680"/>
          <w:tab w:val="clear" w:pos="9360"/>
        </w:tabs>
        <w:jc w:val="both"/>
        <w:rPr/>
      </w:pPr>
      <w:r>
        <w:rPr/>
      </w:r>
    </w:p>
    <w:p>
      <w:pPr>
        <w:pStyle w:val="Normal"/>
        <w:jc w:val="center"/>
        <w:rPr/>
      </w:pPr>
      <w:r>
        <w:rPr/>
        <w:t>PURCHASE AND SALE AGREEMENT</w:t>
      </w:r>
    </w:p>
    <w:p>
      <w:pPr>
        <w:pStyle w:val="Normal"/>
        <w:jc w:val="center"/>
        <w:rPr/>
      </w:pPr>
      <w:r>
        <w:rPr/>
      </w:r>
    </w:p>
    <w:p>
      <w:pPr>
        <w:pStyle w:val="Normal"/>
        <w:jc w:val="center"/>
        <w:rPr/>
      </w:pPr>
      <w:r>
        <w:rPr/>
        <w:t>Schedule 4.14</w:t>
      </w:r>
    </w:p>
    <w:p>
      <w:pPr>
        <w:pStyle w:val="Normal"/>
        <w:jc w:val="center"/>
        <w:rPr/>
      </w:pPr>
      <w:r>
        <w:rPr/>
        <w:t>Benefit Plans</w:t>
      </w:r>
    </w:p>
    <w:p>
      <w:pPr>
        <w:pStyle w:val="Normal"/>
        <w:jc w:val="center"/>
        <w:rPr/>
      </w:pPr>
      <w:r>
        <w:rPr/>
      </w:r>
    </w:p>
    <w:p>
      <w:pPr>
        <w:pStyle w:val="Normal"/>
        <w:jc w:val="center"/>
        <w:rPr/>
      </w:pPr>
      <w:r>
        <w:rPr/>
      </w:r>
    </w:p>
    <w:p>
      <w:pPr>
        <w:pStyle w:val="Normal"/>
        <w:rPr/>
      </w:pPr>
      <w:r>
        <w:rPr/>
        <w:t>There are no Company Benefit Plans.</w:t>
      </w:r>
      <w:r>
        <w:br w:type="page"/>
      </w:r>
    </w:p>
    <w:p>
      <w:pPr>
        <w:pStyle w:val="Normal"/>
        <w:jc w:val="center"/>
        <w:rPr/>
      </w:pPr>
      <w:r>
        <w:rPr/>
        <w:t>PURCHASE AND SALE AGREEMENT</w:t>
      </w:r>
    </w:p>
    <w:p>
      <w:pPr>
        <w:pStyle w:val="Normal"/>
        <w:jc w:val="center"/>
        <w:rPr/>
      </w:pPr>
      <w:r>
        <w:rPr/>
      </w:r>
    </w:p>
    <w:p>
      <w:pPr>
        <w:pStyle w:val="Normal"/>
        <w:jc w:val="center"/>
        <w:rPr/>
      </w:pPr>
      <w:r>
        <w:rPr/>
        <w:t>Schedule 4.14(g)</w:t>
      </w:r>
    </w:p>
    <w:p>
      <w:pPr>
        <w:pStyle w:val="Normal"/>
        <w:jc w:val="center"/>
        <w:rPr/>
      </w:pPr>
      <w:r>
        <w:rPr/>
        <w:t>Labor Matters</w:t>
      </w:r>
      <w:r>
        <w:br w:type="page"/>
      </w:r>
    </w:p>
    <w:p>
      <w:pPr>
        <w:pStyle w:val="Normal"/>
        <w:jc w:val="center"/>
        <w:rPr/>
      </w:pPr>
      <w:r>
        <w:rPr/>
        <w:t>PURCHASE AND SALE AGREEMENT</w:t>
      </w:r>
    </w:p>
    <w:p>
      <w:pPr>
        <w:pStyle w:val="Normal"/>
        <w:jc w:val="center"/>
        <w:rPr/>
      </w:pPr>
      <w:r>
        <w:rPr/>
      </w:r>
    </w:p>
    <w:p>
      <w:pPr>
        <w:pStyle w:val="Normal"/>
        <w:jc w:val="center"/>
        <w:rPr/>
      </w:pPr>
      <w:r>
        <w:rPr/>
        <w:t>Schedule 4.15</w:t>
      </w:r>
    </w:p>
    <w:p>
      <w:pPr>
        <w:pStyle w:val="Normal"/>
        <w:jc w:val="center"/>
        <w:rPr/>
      </w:pPr>
      <w:r>
        <w:rPr/>
        <w:t>Environmental Matters</w:t>
      </w:r>
    </w:p>
    <w:p>
      <w:pPr>
        <w:pStyle w:val="Normal"/>
        <w:jc w:val="center"/>
        <w:rPr/>
      </w:pPr>
      <w:r>
        <w:rPr/>
      </w:r>
    </w:p>
    <w:p>
      <w:pPr>
        <w:pStyle w:val="Normal"/>
        <w:tabs>
          <w:tab w:val="clear" w:pos="720"/>
          <w:tab w:val="left" w:pos="-720" w:leader="none"/>
        </w:tabs>
        <w:suppressAutoHyphens w:val="true"/>
        <w:jc w:val="both"/>
        <w:rPr/>
      </w:pPr>
      <w:r>
        <w:rPr>
          <w:rFonts w:cs="CG Times 12pt;Times New Roman" w:ascii="CG Times 12pt;Times New Roman" w:hAnsi="CG Times 12pt;Times New Roman"/>
          <w:b/>
          <w:spacing w:val="-3"/>
        </w:rPr>
        <w:t>NOTE:</w:t>
      </w:r>
      <w:r>
        <w:rPr>
          <w:rFonts w:cs="CG Times 12pt;Times New Roman" w:ascii="CG Times 12pt;Times New Roman" w:hAnsi="CG Times 12pt;Times New Roman"/>
          <w:spacing w:val="-3"/>
        </w:rPr>
        <w:t xml:space="preserve"> While not conceding or admitting that the conditions listed below constitute violations of any environmental laws, corrective action may be required or are currently being undertaken at the following site(s).</w:t>
      </w:r>
    </w:p>
    <w:p>
      <w:pPr>
        <w:pStyle w:val="Normal"/>
        <w:tabs>
          <w:tab w:val="clear" w:pos="720"/>
          <w:tab w:val="left" w:pos="-720" w:leader="none"/>
        </w:tabs>
        <w:suppressAutoHyphens w:val="true"/>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Heading1"/>
        <w:ind w:hanging="0" w:start="0"/>
        <w:jc w:val="start"/>
        <w:rPr>
          <w:sz w:val="24"/>
          <w:u w:val="single"/>
        </w:rPr>
      </w:pPr>
      <w:r>
        <w:rPr>
          <w:sz w:val="24"/>
          <w:u w:val="single"/>
        </w:rPr>
        <w:t>Gas Processing Properties</w:t>
      </w:r>
    </w:p>
    <w:p>
      <w:pPr>
        <w:pStyle w:val="Normal"/>
        <w:tabs>
          <w:tab w:val="clear" w:pos="720"/>
          <w:tab w:val="left" w:pos="-720" w:leader="none"/>
        </w:tabs>
        <w:suppressAutoHyphens w:val="true"/>
        <w:jc w:val="both"/>
        <w:rPr>
          <w:rFonts w:ascii="CG Times 12pt;Times New Roman" w:hAnsi="CG Times 12pt;Times New Roman" w:cs="CG Times 12pt;Times New Roman"/>
          <w:spacing w:val="-3"/>
          <w:sz w:val="24"/>
          <w:u w:val="single"/>
        </w:rPr>
      </w:pPr>
      <w:r>
        <w:rPr>
          <w:rFonts w:cs="CG Times 12pt;Times New Roman" w:ascii="CG Times 12pt;Times New Roman" w:hAnsi="CG Times 12pt;Times New Roman"/>
          <w:spacing w:val="-3"/>
          <w:sz w:val="24"/>
          <w:u w:val="single"/>
        </w:rPr>
      </w:r>
    </w:p>
    <w:p>
      <w:pPr>
        <w:pStyle w:val="Normal"/>
        <w:tabs>
          <w:tab w:val="clear" w:pos="720"/>
          <w:tab w:val="left" w:pos="-720" w:leader="none"/>
        </w:tabs>
        <w:suppressAutoHyphens w:val="true"/>
        <w:jc w:val="both"/>
        <w:rPr>
          <w:rFonts w:ascii="CG Times 12pt;Times New Roman" w:hAnsi="CG Times 12pt;Times New Roman" w:cs="CG Times 12pt;Times New Roman"/>
          <w:spacing w:val="-3"/>
          <w:u w:val="single"/>
        </w:rPr>
      </w:pPr>
      <w:r>
        <w:rPr>
          <w:rFonts w:cs="CG Times 12pt;Times New Roman" w:ascii="CG Times 12pt;Times New Roman" w:hAnsi="CG Times 12pt;Times New Roman"/>
          <w:spacing w:val="-3"/>
          <w:u w:val="single"/>
        </w:rPr>
      </w:r>
    </w:p>
    <w:p>
      <w:pPr>
        <w:pStyle w:val="Normal"/>
        <w:tabs>
          <w:tab w:val="clear" w:pos="720"/>
          <w:tab w:val="left" w:pos="-720" w:leader="none"/>
        </w:tabs>
        <w:suppressAutoHyphens w:val="true"/>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t>Tuleta Gas Plant</w:t>
      </w:r>
      <w:r>
        <w:rPr>
          <w:rFonts w:cs="CG Times (WN)" w:ascii="CG Times (WN)" w:hAnsi="CG Times (WN)"/>
          <w:spacing w:val="-3"/>
        </w:rPr>
        <w:tab/>
      </w:r>
    </w:p>
    <w:p>
      <w:pPr>
        <w:pStyle w:val="Normal"/>
        <w:tabs>
          <w:tab w:val="clear" w:pos="720"/>
          <w:tab w:val="left" w:pos="-720" w:leader="none"/>
          <w:tab w:val="left" w:pos="0" w:leader="none"/>
        </w:tabs>
        <w:suppressAutoHyphens w:val="true"/>
        <w:ind w:hanging="720" w:start="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tab/>
        <w:t xml:space="preserve">Hydrocarbon impact to soil and groundwater at the site of a former “lean oil” extraction processing plant. Recovery of phase separated hydrocarbons (PSH) and soil remediation is in progress. Assessment data indicates that some of the impacts to groundwater may be from an off-site source, which has not yet been identified. Remediation of the site was initiated by order of the Railroad Commission of Texas (TRC). </w:t>
      </w:r>
    </w:p>
    <w:p>
      <w:pPr>
        <w:pStyle w:val="Normal"/>
        <w:tabs>
          <w:tab w:val="clear" w:pos="720"/>
          <w:tab w:val="left" w:pos="-720" w:leader="none"/>
          <w:tab w:val="left" w:pos="0" w:leader="none"/>
        </w:tabs>
        <w:suppressAutoHyphens w:val="true"/>
        <w:ind w:hanging="720" w:start="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tabs>
          <w:tab w:val="clear" w:pos="720"/>
          <w:tab w:val="left" w:pos="-720" w:leader="none"/>
          <w:tab w:val="left" w:pos="0" w:leader="none"/>
        </w:tabs>
        <w:suppressAutoHyphens w:val="true"/>
        <w:ind w:hanging="720" w:start="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t>Magnolia City Gas Plant</w:t>
      </w:r>
    </w:p>
    <w:p>
      <w:pPr>
        <w:pStyle w:val="Normal"/>
        <w:tabs>
          <w:tab w:val="clear" w:pos="720"/>
          <w:tab w:val="left" w:pos="-720" w:leader="none"/>
          <w:tab w:val="left" w:pos="0" w:leader="none"/>
        </w:tabs>
        <w:suppressAutoHyphens w:val="true"/>
        <w:ind w:hanging="720" w:start="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tab/>
        <w:t xml:space="preserve">Hydrocarbon impact to soil and groundwater at the site of a former cryogenic processing plant. A former “lean oil” plant and a gas compressor station were also located on the property. Dissolved concentrations of total petroleum hydrocarbons (TPH), benzene, and chlorinated solvents are present in shallow groundwater. Remediation of near surface soils is approximately 80% complete. Based on results of a formal Risk Assessment study, a request for site “closure” was made to TRC. TRC recently requested additional monitoring data and risk evaluation for the site. </w:t>
      </w:r>
    </w:p>
    <w:p>
      <w:pPr>
        <w:pStyle w:val="Normal"/>
        <w:tabs>
          <w:tab w:val="clear" w:pos="720"/>
          <w:tab w:val="left" w:pos="-720" w:leader="none"/>
          <w:tab w:val="left" w:pos="0" w:leader="none"/>
        </w:tabs>
        <w:suppressAutoHyphens w:val="true"/>
        <w:ind w:hanging="720" w:start="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tabs>
          <w:tab w:val="clear" w:pos="720"/>
          <w:tab w:val="left" w:pos="-720" w:leader="none"/>
          <w:tab w:val="left" w:pos="0" w:leader="none"/>
        </w:tabs>
        <w:suppressAutoHyphens w:val="true"/>
        <w:ind w:hanging="720" w:start="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t>Robstown Gas Plant</w:t>
      </w:r>
    </w:p>
    <w:p>
      <w:pPr>
        <w:pStyle w:val="Normal"/>
        <w:tabs>
          <w:tab w:val="clear" w:pos="720"/>
          <w:tab w:val="left" w:pos="-720" w:leader="none"/>
          <w:tab w:val="left" w:pos="0" w:leader="none"/>
        </w:tabs>
        <w:suppressAutoHyphens w:val="true"/>
        <w:ind w:hanging="720" w:start="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tab/>
        <w:t xml:space="preserve">Hydrocarbon impact to soil and groundwater at the site of a former “lean oil” processing plant. Primary concerns are dissolved concentrations of total petroleum hydrocarbons (TPH) and benzene in shallow groundwater. Remediation of near surface soils is currently being conducted in conjunction with closure of a wastewater sump. </w:t>
      </w:r>
    </w:p>
    <w:p>
      <w:pPr>
        <w:pStyle w:val="Normal"/>
        <w:tabs>
          <w:tab w:val="clear" w:pos="720"/>
          <w:tab w:val="left" w:pos="-720" w:leader="none"/>
          <w:tab w:val="left" w:pos="0" w:leader="none"/>
        </w:tabs>
        <w:suppressAutoHyphens w:val="true"/>
        <w:ind w:hanging="720" w:start="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tabs>
          <w:tab w:val="clear" w:pos="720"/>
          <w:tab w:val="left" w:pos="-720" w:leader="none"/>
          <w:tab w:val="left" w:pos="0" w:leader="none"/>
        </w:tabs>
        <w:suppressAutoHyphens w:val="true"/>
        <w:ind w:hanging="720" w:start="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t>Victoria Plant</w:t>
      </w:r>
    </w:p>
    <w:p>
      <w:pPr>
        <w:pStyle w:val="Normal"/>
        <w:tabs>
          <w:tab w:val="clear" w:pos="720"/>
          <w:tab w:val="left" w:pos="-720" w:leader="none"/>
          <w:tab w:val="left" w:pos="0" w:leader="none"/>
        </w:tabs>
        <w:suppressAutoHyphens w:val="true"/>
        <w:ind w:hanging="720" w:start="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tab/>
        <w:t xml:space="preserve">Remediation of near surface soil (impacted by operation of a former “lean oil” extraction plant) is currently underway.  Assessment of subsurface conditions indicates no groundwater impact has occurred at this site. </w:t>
      </w:r>
    </w:p>
    <w:p>
      <w:pPr>
        <w:pStyle w:val="Normal"/>
        <w:tabs>
          <w:tab w:val="clear" w:pos="720"/>
          <w:tab w:val="left" w:pos="-720" w:leader="none"/>
          <w:tab w:val="left" w:pos="0" w:leader="none"/>
        </w:tabs>
        <w:suppressAutoHyphens w:val="true"/>
        <w:ind w:hanging="720" w:start="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r>
        <w:br w:type="page"/>
      </w:r>
    </w:p>
    <w:p>
      <w:pPr>
        <w:pStyle w:val="Normal"/>
        <w:tabs>
          <w:tab w:val="clear" w:pos="720"/>
          <w:tab w:val="left" w:pos="-720" w:leader="none"/>
          <w:tab w:val="left" w:pos="0" w:leader="none"/>
        </w:tabs>
        <w:suppressAutoHyphens w:val="true"/>
        <w:ind w:hanging="720" w:start="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tabs>
          <w:tab w:val="clear" w:pos="720"/>
          <w:tab w:val="left" w:pos="-720" w:leader="none"/>
          <w:tab w:val="left" w:pos="0" w:leader="none"/>
        </w:tabs>
        <w:suppressAutoHyphens w:val="true"/>
        <w:ind w:hanging="720" w:start="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Heading2"/>
        <w:ind w:hanging="0" w:start="0"/>
        <w:rPr>
          <w:u w:val="single"/>
        </w:rPr>
      </w:pPr>
      <w:r>
        <w:rPr>
          <w:u w:val="single"/>
        </w:rPr>
        <w:t>HPL Properties</w:t>
      </w:r>
    </w:p>
    <w:p>
      <w:pPr>
        <w:pStyle w:val="Normal"/>
        <w:rPr>
          <w:u w:val="single"/>
        </w:rPr>
      </w:pPr>
      <w:r>
        <w:rPr>
          <w:u w:val="single"/>
        </w:rPr>
      </w:r>
    </w:p>
    <w:p>
      <w:pPr>
        <w:pStyle w:val="EndnoteText"/>
        <w:rPr>
          <w:rFonts w:ascii="Times New Roman" w:hAnsi="Times New Roman" w:cs="Times New Roman"/>
          <w:u w:val="single"/>
        </w:rPr>
      </w:pPr>
      <w:r>
        <w:rPr>
          <w:rFonts w:cs="Times New Roman" w:ascii="Times New Roman" w:hAnsi="Times New Roman"/>
          <w:u w:val="single"/>
        </w:rPr>
        <w:t>Dehydrator Sites</w:t>
      </w:r>
    </w:p>
    <w:p>
      <w:pPr>
        <w:pStyle w:val="Normal"/>
        <w:rPr>
          <w:rFonts w:ascii="Times New Roman" w:hAnsi="Times New Roman" w:cs="Times New Roman"/>
          <w:u w:val="single"/>
        </w:rPr>
      </w:pPr>
      <w:r>
        <w:rPr>
          <w:rFonts w:cs="Times New Roman"/>
          <w:u w:val="single"/>
        </w:rPr>
      </w:r>
    </w:p>
    <w:p>
      <w:pPr>
        <w:pStyle w:val="EndnoteText"/>
        <w:rPr>
          <w:rFonts w:ascii="Times New Roman" w:hAnsi="Times New Roman" w:cs="Times New Roman"/>
        </w:rPr>
      </w:pPr>
      <w:r>
        <w:rPr>
          <w:rFonts w:cs="Times New Roman" w:ascii="Times New Roman" w:hAnsi="Times New Roman"/>
        </w:rPr>
        <w:t>Daggs #2 Dehydrator Site</w:t>
      </w:r>
    </w:p>
    <w:p>
      <w:pPr>
        <w:pStyle w:val="Normal"/>
        <w:ind w:start="720" w:end="0"/>
        <w:rPr/>
      </w:pPr>
      <w:r>
        <w:rPr/>
        <w:t xml:space="preserve">Hydrocarbon impact (PSH and dissolved TPH and BTEX) to soil and groundwater from a former evaporation impoundment.  An off-site assessment was conducted earlier in 2000 to fully delineate extent of impact. Results of this study are not yet available. Remediation and/or removal of impacted (near surface) soil was conducted at the site in 1990 and 1991. Previous assessment studies indicate that production related equipment (owned by others) may be contributing to the groundwater impact. </w:t>
      </w:r>
    </w:p>
    <w:p>
      <w:pPr>
        <w:pStyle w:val="Normal"/>
        <w:ind w:start="720" w:end="0"/>
        <w:rPr/>
      </w:pPr>
      <w:r>
        <w:rPr/>
      </w:r>
    </w:p>
    <w:p>
      <w:pPr>
        <w:pStyle w:val="Normal"/>
        <w:tabs>
          <w:tab w:val="clear" w:pos="720"/>
          <w:tab w:val="left" w:pos="-720" w:leader="none"/>
          <w:tab w:val="left" w:pos="0" w:leader="none"/>
        </w:tabs>
        <w:suppressAutoHyphens w:val="true"/>
        <w:ind w:hanging="720" w:start="720" w:end="0"/>
        <w:jc w:val="both"/>
        <w:rPr/>
      </w:pPr>
      <w:r>
        <w:rPr/>
        <w:t>Smith Production (formerly Amoco) Dehydrator Site</w:t>
      </w:r>
    </w:p>
    <w:p>
      <w:pPr>
        <w:pStyle w:val="Normal"/>
        <w:ind w:start="720" w:end="0"/>
        <w:rPr/>
      </w:pPr>
      <w:r>
        <w:rPr/>
        <w:t xml:space="preserve">Hydrocarbon impact (PSH and dissolved TPH and BTEX) to soil and groundwater from a former evaporation impoundment. Remediation and/or removal of impacted (near surface) soil was conducted at the site in 1990 and 1991.  Previous assessment studies indicate that production related equipment (owned by others) may be contributing to the groundwater impact.  </w:t>
      </w:r>
    </w:p>
    <w:p>
      <w:pPr>
        <w:pStyle w:val="Normal"/>
        <w:rPr/>
      </w:pPr>
      <w:r>
        <w:rPr/>
      </w:r>
    </w:p>
    <w:p>
      <w:pPr>
        <w:pStyle w:val="Normal"/>
        <w:rPr/>
      </w:pPr>
      <w:r>
        <w:rPr/>
        <w:t>Conoco “Headquarters Field” Dehydrator Site</w:t>
      </w:r>
    </w:p>
    <w:p>
      <w:pPr>
        <w:pStyle w:val="Normal"/>
        <w:ind w:start="720" w:end="0"/>
        <w:rPr/>
      </w:pPr>
      <w:r>
        <w:rPr/>
        <w:t>Hydrocarbon impact (dissolved TPH and BTEX) to soil and groundwater from a former evaporation impoundment. Remediation and/or removal of impacted (near surface) soil was conducted at the site in 1990 and 1991. This site is located on the Aransas National Wildlife Refuge (ANWR). An active groundwater remediation system (pump and treat) has been operating at this site for several years. Groundwater remediation target levels, established by TRC and ANWR have been achieved. Quarterly groundwater monitoring will be required for several more intervals.</w:t>
      </w:r>
    </w:p>
    <w:p>
      <w:pPr>
        <w:pStyle w:val="Normal"/>
        <w:rPr/>
      </w:pPr>
      <w:r>
        <w:rPr/>
      </w:r>
    </w:p>
    <w:p>
      <w:pPr>
        <w:pStyle w:val="Normal"/>
        <w:rPr/>
      </w:pPr>
      <w:r>
        <w:rPr/>
        <w:t>“</w:t>
      </w:r>
      <w:r>
        <w:rPr/>
        <w:t>Fingers Farm” Dehydrator Site</w:t>
      </w:r>
    </w:p>
    <w:p>
      <w:pPr>
        <w:pStyle w:val="Normal"/>
        <w:ind w:start="720" w:end="0"/>
        <w:rPr/>
      </w:pPr>
      <w:r>
        <w:rPr/>
        <w:t>Hydrocarbon impact (dissolved TPH and BTEX) to soil and groundwater from a former evaporation impoundment. Remediation and/or removal of impacted (near surface) soil was conducted at the site in 1990 and 1991. Groundwater monitoring is in progress at the site and additional remediation may be required.</w:t>
      </w:r>
    </w:p>
    <w:p>
      <w:pPr>
        <w:pStyle w:val="Normal"/>
        <w:rPr>
          <w:spacing w:val="-3"/>
        </w:rPr>
      </w:pPr>
      <w:r>
        <w:rPr>
          <w:spacing w:val="-3"/>
        </w:rPr>
        <w:tab/>
      </w:r>
    </w:p>
    <w:p>
      <w:pPr>
        <w:pStyle w:val="Normal"/>
        <w:rPr/>
      </w:pPr>
      <w:r>
        <w:rPr/>
        <w:t>Triton Dehydrator Site</w:t>
      </w:r>
    </w:p>
    <w:p>
      <w:pPr>
        <w:pStyle w:val="Normal"/>
        <w:ind w:start="720" w:end="0"/>
        <w:rPr/>
      </w:pPr>
      <w:r>
        <w:rPr/>
        <w:t xml:space="preserve">Hydrocarbon impact (dissolved TPH and BTEX) to soil and groundwater from a former evaporation impoundment. Remediation and/or removal of impacted (near surface) soil was conducted at the site in 1990 and 1991. </w:t>
      </w:r>
      <w:r>
        <w:rPr>
          <w:rFonts w:cs="CG Times 12pt;Times New Roman" w:ascii="CG Times 12pt;Times New Roman" w:hAnsi="CG Times 12pt;Times New Roman"/>
          <w:spacing w:val="-3"/>
        </w:rPr>
        <w:t xml:space="preserve">Based on favorable results of a formal Risk Assessment study, a request for site “closure” was made to TRC in 1997.  TRC recently requested additional monitoring data and risk evaluation for the site. </w:t>
      </w:r>
      <w:r>
        <w:br w:type="page"/>
      </w:r>
    </w:p>
    <w:p>
      <w:pPr>
        <w:pStyle w:val="Normal"/>
        <w:ind w:start="720" w:end="0"/>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t>San Patricio Dehydrator Site</w:t>
      </w:r>
    </w:p>
    <w:p>
      <w:pPr>
        <w:pStyle w:val="Normal"/>
        <w:ind w:start="720" w:end="0"/>
        <w:rPr/>
      </w:pPr>
      <w:r>
        <w:rPr/>
        <w:t xml:space="preserve">Hydrocarbon impact (dissolved TPH and BTEX) to soil and groundwater from a former evaporation impoundment. Remediation and/or removal of impacted (near surface) soil was conducted at the site in 1990 and 1991. </w:t>
      </w:r>
      <w:r>
        <w:rPr>
          <w:rFonts w:cs="CG Times 12pt;Times New Roman" w:ascii="CG Times 12pt;Times New Roman" w:hAnsi="CG Times 12pt;Times New Roman"/>
          <w:spacing w:val="-3"/>
        </w:rPr>
        <w:t>Based on favorable results of a formal Risk Assessment study, a request for site “closure” was made to TRC in 1997.  TRC recently requested additional monitoring data and risk evaluation for the site</w:t>
      </w:r>
    </w:p>
    <w:p>
      <w:pPr>
        <w:pStyle w:val="Normal"/>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rPr>
          <w:spacing w:val="-3"/>
        </w:rPr>
      </w:pPr>
      <w:r>
        <w:rPr>
          <w:spacing w:val="-3"/>
        </w:rPr>
        <w:t>Daggs #1 Dehydrator Site</w:t>
      </w:r>
    </w:p>
    <w:p>
      <w:pPr>
        <w:pStyle w:val="Normal"/>
        <w:ind w:start="720" w:end="0"/>
        <w:rPr/>
      </w:pPr>
      <w:r>
        <w:rPr/>
        <w:t xml:space="preserve">Hydrocarbon impact (dissolved TPH and BTEX) to soil and groundwater from a former evaporation impoundment. Remediation and/or removal of impacted (near surface) soil was conducted at the site in 1990 and 1991. </w:t>
      </w:r>
      <w:r>
        <w:rPr>
          <w:rFonts w:cs="CG Times 12pt;Times New Roman" w:ascii="CG Times 12pt;Times New Roman" w:hAnsi="CG Times 12pt;Times New Roman"/>
          <w:spacing w:val="-3"/>
        </w:rPr>
        <w:t>Based on favorable results of a formal Risk Assessment study, a request for site “closure” was made to TRC in 1997.  TRC recently requested additional monitoring data and risk evaluation for the site.</w:t>
      </w:r>
    </w:p>
    <w:p>
      <w:pPr>
        <w:pStyle w:val="Normal"/>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rPr>
          <w:spacing w:val="-3"/>
        </w:rPr>
      </w:pPr>
      <w:r>
        <w:rPr>
          <w:spacing w:val="-3"/>
        </w:rPr>
        <w:t>Texana Field Dehydrator Site</w:t>
      </w:r>
    </w:p>
    <w:p>
      <w:pPr>
        <w:pStyle w:val="Normal"/>
        <w:ind w:start="720" w:end="0"/>
        <w:rPr/>
      </w:pPr>
      <w:r>
        <w:rPr/>
        <w:t xml:space="preserve">Hydrocarbon impact (dissolved TPH and BTEX) to soil and groundwater from a former evaporation impoundment. Remediation and/or removal of impacted (near surface) soil was conducted at the site in 1990 and 1991. </w:t>
      </w:r>
      <w:r>
        <w:rPr>
          <w:rFonts w:cs="CG Times 12pt;Times New Roman" w:ascii="CG Times 12pt;Times New Roman" w:hAnsi="CG Times 12pt;Times New Roman"/>
          <w:spacing w:val="-3"/>
        </w:rPr>
        <w:t>Based on favorable results of a formal Risk Assessment study, a request for site “closure” was made to TRC in 1997.  TRC recently requested additional monitoring data and risk evaluation for the site</w:t>
      </w:r>
    </w:p>
    <w:p>
      <w:pPr>
        <w:pStyle w:val="Normal"/>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rPr>
          <w:spacing w:val="-3"/>
        </w:rPr>
      </w:pPr>
      <w:r>
        <w:rPr>
          <w:spacing w:val="-3"/>
        </w:rPr>
        <w:t>Franks #1 Dehydrator Site</w:t>
      </w:r>
    </w:p>
    <w:p>
      <w:pPr>
        <w:pStyle w:val="Normal"/>
        <w:ind w:start="720" w:end="0"/>
        <w:rPr/>
      </w:pPr>
      <w:r>
        <w:rPr/>
        <w:t xml:space="preserve">Hydrocarbon impact (dissolved TPH and BTEX) to soil and groundwater from a former evaporation impoundment. Remediation and/or removal of impacted (near surface) soil was conducted at the site in 1990 and 1991. </w:t>
      </w:r>
      <w:r>
        <w:rPr>
          <w:rFonts w:cs="CG Times 12pt;Times New Roman" w:ascii="CG Times 12pt;Times New Roman" w:hAnsi="CG Times 12pt;Times New Roman"/>
          <w:spacing w:val="-3"/>
        </w:rPr>
        <w:t>Based on favorable results of a formal Risk Assessment study, a request for site “closure” was made to TRC in 1997.  TRC recently requested additional monitoring data and risk evaluation for the site</w:t>
      </w:r>
    </w:p>
    <w:p>
      <w:pPr>
        <w:pStyle w:val="Normal"/>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rPr>
          <w:spacing w:val="-3"/>
        </w:rPr>
      </w:pPr>
      <w:r>
        <w:rPr>
          <w:spacing w:val="-3"/>
        </w:rPr>
        <w:t>Panther Point Dehydrator Site</w:t>
      </w:r>
    </w:p>
    <w:p>
      <w:pPr>
        <w:pStyle w:val="Normal"/>
        <w:ind w:start="720" w:end="0"/>
        <w:rPr/>
      </w:pPr>
      <w:r>
        <w:rPr/>
        <w:t xml:space="preserve">Hydrocarbon impact (dissolved TPH and BTEX) to soil and groundwater from a former evaporation impoundment. Remediation and/or removal of impacted (near surface) soil was conducted at the site in 1990 and 1991. </w:t>
      </w:r>
      <w:r>
        <w:rPr>
          <w:rFonts w:cs="CG Times 12pt;Times New Roman" w:ascii="CG Times 12pt;Times New Roman" w:hAnsi="CG Times 12pt;Times New Roman"/>
          <w:spacing w:val="-3"/>
        </w:rPr>
        <w:t>Based on favorable results of a formal Risk Assessment study, a request for site “closure” was made to TRC in 1997.  TRC recently requested additional monitoring data and risk evaluation for the site.</w:t>
      </w:r>
    </w:p>
    <w:p>
      <w:pPr>
        <w:pStyle w:val="Normal"/>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Heading3"/>
        <w:ind w:hanging="0" w:start="0"/>
        <w:rPr>
          <w:rFonts w:ascii="Times New Roman" w:hAnsi="Times New Roman" w:cs="Times New Roman"/>
          <w:b w:val="false"/>
          <w:sz w:val="24"/>
          <w:u w:val="single"/>
        </w:rPr>
      </w:pPr>
      <w:r>
        <w:rPr>
          <w:rFonts w:cs="Times New Roman" w:ascii="Times New Roman" w:hAnsi="Times New Roman"/>
          <w:b w:val="false"/>
          <w:sz w:val="24"/>
          <w:u w:val="single"/>
        </w:rPr>
        <w:t>Compressor Station Sites</w:t>
      </w:r>
    </w:p>
    <w:p>
      <w:pPr>
        <w:pStyle w:val="Normal"/>
        <w:rPr>
          <w:rFonts w:ascii="Times New Roman" w:hAnsi="Times New Roman" w:cs="Times New Roman"/>
          <w:b/>
          <w:spacing w:val="-3"/>
          <w:sz w:val="24"/>
          <w:u w:val="single"/>
        </w:rPr>
      </w:pPr>
      <w:r>
        <w:rPr>
          <w:rFonts w:cs="Times New Roman"/>
          <w:b/>
          <w:spacing w:val="-3"/>
          <w:sz w:val="24"/>
          <w:u w:val="single"/>
        </w:rPr>
      </w:r>
    </w:p>
    <w:p>
      <w:pPr>
        <w:pStyle w:val="Normal"/>
        <w:rPr>
          <w:spacing w:val="-3"/>
        </w:rPr>
      </w:pPr>
      <w:r>
        <w:rPr>
          <w:spacing w:val="-3"/>
        </w:rPr>
        <w:t xml:space="preserve">Odem Compressor Station Site </w:t>
      </w:r>
    </w:p>
    <w:p>
      <w:pPr>
        <w:pStyle w:val="Normal"/>
        <w:ind w:start="720" w:end="0"/>
        <w:rPr>
          <w:rFonts w:ascii="CG Times 12pt;Times New Roman" w:hAnsi="CG Times 12pt;Times New Roman" w:cs="CG Times 12pt;Times New Roman"/>
          <w:spacing w:val="-3"/>
        </w:rPr>
      </w:pPr>
      <w:r>
        <w:rPr>
          <w:spacing w:val="-3"/>
        </w:rPr>
        <w:t xml:space="preserve">An environmental site assessment conducted in 1999 indicated impact (dissolved TPH and BTEX) to soil and groundwater.  Groundwater monitoring wells were installed at this location in August 2000.  Results of sampling and analysis of groundwater is not yet available. </w:t>
      </w:r>
      <w:r>
        <w:br w:type="page"/>
      </w:r>
    </w:p>
    <w:p>
      <w:pPr>
        <w:pStyle w:val="Normal"/>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rPr>
          <w:spacing w:val="-3"/>
        </w:rPr>
      </w:pPr>
      <w:r>
        <w:rPr>
          <w:spacing w:val="-3"/>
        </w:rPr>
        <w:t xml:space="preserve">Caney Compressor Station Site </w:t>
      </w:r>
    </w:p>
    <w:p>
      <w:pPr>
        <w:pStyle w:val="Normal"/>
        <w:ind w:start="720" w:end="0"/>
        <w:rPr>
          <w:rFonts w:ascii="CG Times 12pt;Times New Roman" w:hAnsi="CG Times 12pt;Times New Roman" w:cs="CG Times 12pt;Times New Roman"/>
          <w:spacing w:val="-3"/>
        </w:rPr>
      </w:pPr>
      <w:r>
        <w:rPr>
          <w:spacing w:val="-3"/>
        </w:rPr>
        <w:t xml:space="preserve">An environmental site assessment conducted in 1999 indicated impact (dissolved TPH and BTEX) to soil and groundwater.  Groundwater monitoring wells were installed at this location in August 2000.  Results of sampling and analysis of groundwater is not yet available. </w:t>
      </w:r>
    </w:p>
    <w:p>
      <w:pPr>
        <w:pStyle w:val="Normal"/>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rPr>
          <w:spacing w:val="-3"/>
        </w:rPr>
      </w:pPr>
      <w:r>
        <w:rPr>
          <w:rFonts w:cs="CG Times 12pt;Times New Roman" w:ascii="CG Times 12pt;Times New Roman" w:hAnsi="CG Times 12pt;Times New Roman"/>
          <w:spacing w:val="-3"/>
        </w:rPr>
        <w:t>Mission Valley Compressor Station</w:t>
      </w:r>
    </w:p>
    <w:p>
      <w:pPr>
        <w:pStyle w:val="Normal"/>
        <w:ind w:start="720" w:end="0"/>
        <w:rPr>
          <w:rFonts w:ascii="CG Times 12pt;Times New Roman" w:hAnsi="CG Times 12pt;Times New Roman" w:cs="CG Times 12pt;Times New Roman"/>
          <w:spacing w:val="-3"/>
        </w:rPr>
      </w:pPr>
      <w:r>
        <w:rPr>
          <w:spacing w:val="-3"/>
        </w:rPr>
        <w:t xml:space="preserve">An environmental site assessment conducted in 1999 indicated impact (dissolved TPH and BTEX) to soil and groundwater.  Groundwater monitoring wells were installed at this location in August 2000.  Results of sampling and analysis of groundwater is not yet available. </w:t>
      </w:r>
    </w:p>
    <w:p>
      <w:pPr>
        <w:pStyle w:val="Normal"/>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Heading3"/>
        <w:ind w:hanging="0" w:start="0"/>
        <w:rPr>
          <w:rFonts w:ascii="Times New Roman" w:hAnsi="Times New Roman" w:cs="Times New Roman"/>
          <w:b w:val="false"/>
          <w:sz w:val="24"/>
          <w:u w:val="single"/>
        </w:rPr>
      </w:pPr>
      <w:r>
        <w:rPr>
          <w:rFonts w:cs="Times New Roman" w:ascii="Times New Roman" w:hAnsi="Times New Roman"/>
          <w:b w:val="false"/>
          <w:sz w:val="24"/>
          <w:u w:val="single"/>
        </w:rPr>
        <w:t>Pipeline Sites</w:t>
      </w:r>
    </w:p>
    <w:p>
      <w:pPr>
        <w:pStyle w:val="Normal"/>
        <w:rPr>
          <w:rFonts w:ascii="CG Times 12pt;Times New Roman" w:hAnsi="CG Times 12pt;Times New Roman" w:cs="CG Times 12pt;Times New Roman"/>
          <w:b/>
          <w:spacing w:val="-3"/>
          <w:sz w:val="24"/>
          <w:u w:val="single"/>
        </w:rPr>
      </w:pPr>
      <w:r>
        <w:rPr>
          <w:rFonts w:cs="CG Times 12pt;Times New Roman" w:ascii="CG Times 12pt;Times New Roman" w:hAnsi="CG Times 12pt;Times New Roman"/>
          <w:b/>
          <w:spacing w:val="-3"/>
          <w:sz w:val="24"/>
          <w:u w:val="single"/>
        </w:rPr>
      </w:r>
    </w:p>
    <w:p>
      <w:pPr>
        <w:pStyle w:val="Normal"/>
        <w:rPr>
          <w:spacing w:val="-3"/>
        </w:rPr>
      </w:pPr>
      <w:r>
        <w:rPr>
          <w:spacing w:val="-3"/>
        </w:rPr>
        <w:t>Mykawa 18” Pipeline Leak Site</w:t>
      </w:r>
    </w:p>
    <w:p>
      <w:pPr>
        <w:pStyle w:val="Normal"/>
        <w:ind w:start="720" w:end="0"/>
        <w:rPr>
          <w:rFonts w:ascii="CG Times 12pt;Times New Roman" w:hAnsi="CG Times 12pt;Times New Roman" w:cs="CG Times 12pt;Times New Roman"/>
          <w:spacing w:val="-3"/>
        </w:rPr>
      </w:pPr>
      <w:r>
        <w:rPr>
          <w:spacing w:val="-3"/>
        </w:rPr>
        <w:t xml:space="preserve">Soil and possible groundwater impact (TPH and BTEX) from a pipeline leak, which was discovered and repaired in 1998. Current plans to install a groundwater monitoring well have been delayed due to right-of-way issues. </w:t>
      </w:r>
    </w:p>
    <w:p>
      <w:pPr>
        <w:pStyle w:val="Normal"/>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t>Point Comfort Loop Pipeline Leak Site</w:t>
      </w:r>
    </w:p>
    <w:p>
      <w:pPr>
        <w:pStyle w:val="Normal"/>
        <w:rPr>
          <w:spacing w:val="-3"/>
        </w:rPr>
      </w:pPr>
      <w:r>
        <w:rPr>
          <w:spacing w:val="-3"/>
        </w:rPr>
        <w:t>Soil and possible groundwater impact (TPH and BTEX) from a pipeline leak, which was discovered and repaired in 2000. Groundwater monitoring wells were installed at this location in August 2000.</w:t>
      </w:r>
      <w:r>
        <w:br w:type="page"/>
      </w:r>
    </w:p>
    <w:p>
      <w:pPr>
        <w:pStyle w:val="Normal"/>
        <w:jc w:val="center"/>
        <w:rPr/>
      </w:pPr>
      <w:r>
        <w:rPr/>
        <w:t>PURCHASE AND SALE AGREEMENT</w:t>
      </w:r>
    </w:p>
    <w:p>
      <w:pPr>
        <w:pStyle w:val="Normal"/>
        <w:jc w:val="center"/>
        <w:rPr/>
      </w:pPr>
      <w:r>
        <w:rPr/>
      </w:r>
    </w:p>
    <w:p>
      <w:pPr>
        <w:pStyle w:val="Normal"/>
        <w:jc w:val="center"/>
        <w:rPr/>
      </w:pPr>
      <w:r>
        <w:rPr/>
        <w:t>Schedule 4.16</w:t>
      </w:r>
    </w:p>
    <w:p>
      <w:pPr>
        <w:pStyle w:val="Normal"/>
        <w:jc w:val="center"/>
        <w:rPr/>
      </w:pPr>
      <w:r>
        <w:rPr/>
        <w:t>Summary of Insurance</w:t>
      </w:r>
    </w:p>
    <w:p>
      <w:pPr>
        <w:pStyle w:val="Normal"/>
        <w:jc w:val="center"/>
        <w:rPr/>
      </w:pPr>
      <w:r>
        <w:rPr/>
      </w:r>
    </w:p>
    <w:tbl>
      <w:tblPr>
        <w:tblW w:w="10584" w:type="dxa"/>
        <w:jc w:val="start"/>
        <w:tblInd w:w="0" w:type="dxa"/>
        <w:tblLayout w:type="fixed"/>
        <w:tblCellMar>
          <w:top w:w="0" w:type="dxa"/>
          <w:start w:w="54" w:type="dxa"/>
          <w:bottom w:w="0" w:type="dxa"/>
          <w:end w:w="54" w:type="dxa"/>
        </w:tblCellMar>
      </w:tblPr>
      <w:tblGrid>
        <w:gridCol w:w="3564"/>
        <w:gridCol w:w="1980"/>
        <w:gridCol w:w="2430"/>
        <w:gridCol w:w="2610"/>
      </w:tblGrid>
      <w:tr>
        <w:trPr>
          <w:trHeight w:val="315" w:hRule="atLeast"/>
        </w:trPr>
        <w:tc>
          <w:tcPr>
            <w:tcW w:w="3564" w:type="dxa"/>
            <w:tcBorders/>
          </w:tcPr>
          <w:p>
            <w:pPr>
              <w:pStyle w:val="Normal"/>
              <w:widowControl w:val="false"/>
              <w:autoSpaceDE w:val="false"/>
              <w:rPr>
                <w:b/>
              </w:rPr>
            </w:pPr>
            <w:r>
              <w:rPr>
                <w:b/>
              </w:rPr>
              <w:t>Excess Liability</w:t>
            </w:r>
          </w:p>
        </w:tc>
        <w:tc>
          <w:tcPr>
            <w:tcW w:w="1980" w:type="dxa"/>
            <w:tcBorders/>
          </w:tcPr>
          <w:p>
            <w:pPr>
              <w:pStyle w:val="Header"/>
              <w:widowControl w:val="false"/>
              <w:tabs>
                <w:tab w:val="clear" w:pos="4680"/>
                <w:tab w:val="clear" w:pos="9360"/>
              </w:tabs>
              <w:autoSpaceDE w:val="false"/>
              <w:snapToGrid w:val="false"/>
              <w:rPr>
                <w:b/>
              </w:rPr>
            </w:pPr>
            <w:r>
              <w:rPr>
                <w:b/>
              </w:rPr>
            </w:r>
          </w:p>
        </w:tc>
        <w:tc>
          <w:tcPr>
            <w:tcW w:w="2430" w:type="dxa"/>
            <w:tcBorders/>
          </w:tcPr>
          <w:p>
            <w:pPr>
              <w:pStyle w:val="Header"/>
              <w:widowControl w:val="false"/>
              <w:tabs>
                <w:tab w:val="clear" w:pos="4680"/>
                <w:tab w:val="clear" w:pos="9360"/>
              </w:tabs>
              <w:autoSpaceDE w:val="false"/>
              <w:snapToGrid w:val="false"/>
              <w:rPr/>
            </w:pPr>
            <w:r>
              <w:rPr/>
            </w:r>
          </w:p>
        </w:tc>
        <w:tc>
          <w:tcPr>
            <w:tcW w:w="2610" w:type="dxa"/>
            <w:tcBorders/>
          </w:tcPr>
          <w:p>
            <w:pPr>
              <w:pStyle w:val="Header"/>
              <w:widowControl w:val="false"/>
              <w:tabs>
                <w:tab w:val="clear" w:pos="4680"/>
                <w:tab w:val="clear" w:pos="9360"/>
              </w:tabs>
              <w:autoSpaceDE w:val="false"/>
              <w:snapToGrid w:val="false"/>
              <w:rPr/>
            </w:pPr>
            <w:r>
              <w:rPr/>
            </w:r>
          </w:p>
        </w:tc>
      </w:tr>
      <w:tr>
        <w:trPr>
          <w:trHeight w:val="315" w:hRule="atLeast"/>
        </w:trPr>
        <w:tc>
          <w:tcPr>
            <w:tcW w:w="3564" w:type="dxa"/>
            <w:tcBorders/>
          </w:tcPr>
          <w:p>
            <w:pPr>
              <w:pStyle w:val="Normal"/>
              <w:widowControl w:val="false"/>
              <w:autoSpaceDE w:val="false"/>
              <w:snapToGrid w:val="false"/>
              <w:rPr>
                <w:b/>
              </w:rPr>
            </w:pPr>
            <w:r>
              <w:rPr>
                <w:b/>
              </w:rPr>
            </w:r>
          </w:p>
        </w:tc>
        <w:tc>
          <w:tcPr>
            <w:tcW w:w="1980" w:type="dxa"/>
            <w:tcBorders/>
          </w:tcPr>
          <w:p>
            <w:pPr>
              <w:pStyle w:val="Normal"/>
              <w:widowControl w:val="false"/>
              <w:autoSpaceDE w:val="false"/>
              <w:snapToGrid w:val="false"/>
              <w:rPr>
                <w:b/>
              </w:rPr>
            </w:pPr>
            <w:r>
              <w:rPr>
                <w:b/>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u w:val="single"/>
              </w:rPr>
            </w:pPr>
            <w:r>
              <w:rPr>
                <w:b/>
                <w:u w:val="single"/>
              </w:rPr>
              <w:t>Insurer</w:t>
            </w:r>
          </w:p>
        </w:tc>
        <w:tc>
          <w:tcPr>
            <w:tcW w:w="1980" w:type="dxa"/>
            <w:tcBorders/>
          </w:tcPr>
          <w:p>
            <w:pPr>
              <w:pStyle w:val="Normal"/>
              <w:widowControl w:val="false"/>
              <w:autoSpaceDE w:val="false"/>
              <w:rPr>
                <w:b/>
                <w:u w:val="single"/>
              </w:rPr>
            </w:pPr>
            <w:r>
              <w:rPr>
                <w:b/>
                <w:u w:val="single"/>
              </w:rPr>
              <w:t>Policy Number</w:t>
            </w:r>
          </w:p>
        </w:tc>
        <w:tc>
          <w:tcPr>
            <w:tcW w:w="2430" w:type="dxa"/>
            <w:tcBorders/>
          </w:tcPr>
          <w:p>
            <w:pPr>
              <w:pStyle w:val="Normal"/>
              <w:widowControl w:val="false"/>
              <w:autoSpaceDE w:val="false"/>
              <w:rPr>
                <w:b/>
                <w:u w:val="single"/>
              </w:rPr>
            </w:pPr>
            <w:r>
              <w:rPr>
                <w:b/>
                <w:u w:val="single"/>
              </w:rPr>
              <w:t>Policy Limits</w:t>
            </w:r>
          </w:p>
        </w:tc>
        <w:tc>
          <w:tcPr>
            <w:tcW w:w="2610" w:type="dxa"/>
            <w:tcBorders/>
          </w:tcPr>
          <w:p>
            <w:pPr>
              <w:pStyle w:val="Normal"/>
              <w:widowControl w:val="false"/>
              <w:autoSpaceDE w:val="false"/>
              <w:rPr>
                <w:b/>
                <w:u w:val="single"/>
              </w:rPr>
            </w:pPr>
            <w:r>
              <w:rPr>
                <w:b/>
                <w:u w:val="single"/>
              </w:rPr>
              <w:t>Policy Term</w:t>
            </w:r>
          </w:p>
        </w:tc>
      </w:tr>
      <w:tr>
        <w:trPr>
          <w:trHeight w:val="315" w:hRule="atLeast"/>
        </w:trPr>
        <w:tc>
          <w:tcPr>
            <w:tcW w:w="3564" w:type="dxa"/>
            <w:tcBorders/>
          </w:tcPr>
          <w:p>
            <w:pPr>
              <w:pStyle w:val="Normal"/>
              <w:widowControl w:val="false"/>
              <w:autoSpaceDE w:val="false"/>
              <w:rPr/>
            </w:pPr>
            <w:r>
              <w:rPr/>
              <w:t>AEGIS Insurance Services, Inc.</w:t>
            </w:r>
          </w:p>
        </w:tc>
        <w:tc>
          <w:tcPr>
            <w:tcW w:w="1980" w:type="dxa"/>
            <w:tcBorders/>
          </w:tcPr>
          <w:p>
            <w:pPr>
              <w:pStyle w:val="Normal"/>
              <w:widowControl w:val="false"/>
              <w:autoSpaceDE w:val="false"/>
              <w:rPr/>
            </w:pPr>
            <w:r>
              <w:rPr/>
              <w:t>XOO79A1A99</w:t>
            </w:r>
          </w:p>
        </w:tc>
        <w:tc>
          <w:tcPr>
            <w:tcW w:w="2430" w:type="dxa"/>
            <w:tcBorders/>
          </w:tcPr>
          <w:p>
            <w:pPr>
              <w:pStyle w:val="Normal"/>
              <w:widowControl w:val="false"/>
              <w:autoSpaceDE w:val="false"/>
              <w:rPr/>
            </w:pPr>
            <w:r>
              <w:rPr/>
              <w:t>$35mm occ &amp; agg</w:t>
            </w:r>
          </w:p>
        </w:tc>
        <w:tc>
          <w:tcPr>
            <w:tcW w:w="2610" w:type="dxa"/>
            <w:tcBorders/>
          </w:tcPr>
          <w:p>
            <w:pPr>
              <w:pStyle w:val="Normal"/>
              <w:widowControl w:val="false"/>
              <w:autoSpaceDE w:val="false"/>
              <w:rPr/>
            </w:pPr>
            <w:r>
              <w:rPr/>
              <w:t>4/21/99-03</w:t>
            </w:r>
          </w:p>
        </w:tc>
      </w:tr>
      <w:tr>
        <w:trPr>
          <w:trHeight w:val="315" w:hRule="atLeast"/>
        </w:trPr>
        <w:tc>
          <w:tcPr>
            <w:tcW w:w="3564" w:type="dxa"/>
            <w:tcBorders/>
          </w:tcPr>
          <w:p>
            <w:pPr>
              <w:pStyle w:val="Normal"/>
              <w:widowControl w:val="false"/>
              <w:autoSpaceDE w:val="false"/>
              <w:rPr/>
            </w:pPr>
            <w:r>
              <w:rPr/>
              <w:t>Energy Insurance Mutual</w:t>
            </w:r>
          </w:p>
        </w:tc>
        <w:tc>
          <w:tcPr>
            <w:tcW w:w="1980" w:type="dxa"/>
            <w:tcBorders/>
          </w:tcPr>
          <w:p>
            <w:pPr>
              <w:pStyle w:val="Normal"/>
              <w:widowControl w:val="false"/>
              <w:autoSpaceDE w:val="false"/>
              <w:rPr/>
            </w:pPr>
            <w:r>
              <w:rPr/>
              <w:t>50101900GL</w:t>
            </w:r>
          </w:p>
        </w:tc>
        <w:tc>
          <w:tcPr>
            <w:tcW w:w="2430" w:type="dxa"/>
            <w:tcBorders/>
          </w:tcPr>
          <w:p>
            <w:pPr>
              <w:pStyle w:val="Normal"/>
              <w:widowControl w:val="false"/>
              <w:autoSpaceDE w:val="false"/>
              <w:rPr/>
            </w:pPr>
            <w:r>
              <w:rPr/>
              <w:t>$100mm agg xs of $35mm</w:t>
            </w:r>
          </w:p>
        </w:tc>
        <w:tc>
          <w:tcPr>
            <w:tcW w:w="2610" w:type="dxa"/>
            <w:tcBorders/>
          </w:tcPr>
          <w:p>
            <w:pPr>
              <w:pStyle w:val="Normal"/>
              <w:widowControl w:val="false"/>
              <w:autoSpaceDE w:val="false"/>
              <w:rPr/>
            </w:pPr>
            <w:r>
              <w:rPr/>
              <w:t>4/21/00-01</w:t>
            </w:r>
          </w:p>
        </w:tc>
      </w:tr>
      <w:tr>
        <w:trPr>
          <w:trHeight w:val="315" w:hRule="atLeast"/>
        </w:trPr>
        <w:tc>
          <w:tcPr>
            <w:tcW w:w="3564" w:type="dxa"/>
            <w:tcBorders/>
          </w:tcPr>
          <w:p>
            <w:pPr>
              <w:pStyle w:val="Normal"/>
              <w:widowControl w:val="false"/>
              <w:autoSpaceDE w:val="false"/>
              <w:rPr/>
            </w:pPr>
            <w:r>
              <w:rPr/>
              <w:t>Lloyd's of London</w:t>
            </w:r>
          </w:p>
        </w:tc>
        <w:tc>
          <w:tcPr>
            <w:tcW w:w="1980" w:type="dxa"/>
            <w:tcBorders/>
          </w:tcPr>
          <w:p>
            <w:pPr>
              <w:pStyle w:val="Normal"/>
              <w:widowControl w:val="false"/>
              <w:autoSpaceDE w:val="false"/>
              <w:rPr/>
            </w:pPr>
            <w:r>
              <w:rPr/>
              <w:t>LE0029962</w:t>
            </w:r>
          </w:p>
        </w:tc>
        <w:tc>
          <w:tcPr>
            <w:tcW w:w="2430" w:type="dxa"/>
            <w:tcBorders/>
          </w:tcPr>
          <w:p>
            <w:pPr>
              <w:pStyle w:val="Normal"/>
              <w:widowControl w:val="false"/>
              <w:autoSpaceDE w:val="false"/>
              <w:rPr/>
            </w:pPr>
            <w:r>
              <w:rPr/>
              <w:t>$200mm agg xs of $135mm</w:t>
            </w:r>
          </w:p>
        </w:tc>
        <w:tc>
          <w:tcPr>
            <w:tcW w:w="2610" w:type="dxa"/>
            <w:tcBorders/>
          </w:tcPr>
          <w:p>
            <w:pPr>
              <w:pStyle w:val="Normal"/>
              <w:widowControl w:val="false"/>
              <w:autoSpaceDE w:val="false"/>
              <w:rPr/>
            </w:pPr>
            <w:r>
              <w:rPr/>
              <w:t>4/21/00-01</w:t>
            </w:r>
          </w:p>
        </w:tc>
      </w:tr>
      <w:tr>
        <w:trPr>
          <w:trHeight w:val="315" w:hRule="atLeast"/>
        </w:trPr>
        <w:tc>
          <w:tcPr>
            <w:tcW w:w="3564" w:type="dxa"/>
            <w:tcBorders/>
          </w:tcPr>
          <w:p>
            <w:pPr>
              <w:pStyle w:val="Normal"/>
              <w:widowControl w:val="false"/>
              <w:autoSpaceDE w:val="false"/>
              <w:rPr/>
            </w:pPr>
            <w:r>
              <w:rPr/>
              <w:t>Lloyd's of London</w:t>
            </w:r>
          </w:p>
        </w:tc>
        <w:tc>
          <w:tcPr>
            <w:tcW w:w="1980" w:type="dxa"/>
            <w:tcBorders/>
          </w:tcPr>
          <w:p>
            <w:pPr>
              <w:pStyle w:val="Normal"/>
              <w:widowControl w:val="false"/>
              <w:autoSpaceDE w:val="false"/>
              <w:rPr/>
            </w:pPr>
            <w:r>
              <w:rPr/>
              <w:t>LE0029963</w:t>
            </w:r>
          </w:p>
        </w:tc>
        <w:tc>
          <w:tcPr>
            <w:tcW w:w="2430" w:type="dxa"/>
            <w:tcBorders/>
          </w:tcPr>
          <w:p>
            <w:pPr>
              <w:pStyle w:val="Normal"/>
              <w:widowControl w:val="false"/>
              <w:autoSpaceDE w:val="false"/>
              <w:rPr/>
            </w:pPr>
            <w:r>
              <w:rPr/>
              <w:t>$25mm agg xs of $335mm</w:t>
            </w:r>
          </w:p>
        </w:tc>
        <w:tc>
          <w:tcPr>
            <w:tcW w:w="2610" w:type="dxa"/>
            <w:tcBorders/>
          </w:tcPr>
          <w:p>
            <w:pPr>
              <w:pStyle w:val="Normal"/>
              <w:widowControl w:val="false"/>
              <w:autoSpaceDE w:val="false"/>
              <w:rPr/>
            </w:pPr>
            <w:r>
              <w:rPr/>
              <w:t>4/21/00-01</w:t>
            </w:r>
          </w:p>
        </w:tc>
      </w:tr>
      <w:tr>
        <w:trPr>
          <w:trHeight w:val="315" w:hRule="atLeast"/>
        </w:trPr>
        <w:tc>
          <w:tcPr>
            <w:tcW w:w="3564" w:type="dxa"/>
            <w:tcBorders/>
          </w:tcPr>
          <w:p>
            <w:pPr>
              <w:pStyle w:val="Normal"/>
              <w:widowControl w:val="false"/>
              <w:autoSpaceDE w:val="false"/>
              <w:rPr/>
            </w:pPr>
            <w:r>
              <w:rPr/>
              <w:t>Kemper Ins. Company</w:t>
            </w:r>
          </w:p>
        </w:tc>
        <w:tc>
          <w:tcPr>
            <w:tcW w:w="1980" w:type="dxa"/>
            <w:tcBorders/>
          </w:tcPr>
          <w:p>
            <w:pPr>
              <w:pStyle w:val="Normal"/>
              <w:widowControl w:val="false"/>
              <w:autoSpaceDE w:val="false"/>
              <w:rPr/>
            </w:pPr>
            <w:r>
              <w:rPr/>
              <w:t>9SR131340-00</w:t>
            </w:r>
          </w:p>
        </w:tc>
        <w:tc>
          <w:tcPr>
            <w:tcW w:w="2430" w:type="dxa"/>
            <w:tcBorders/>
          </w:tcPr>
          <w:p>
            <w:pPr>
              <w:pStyle w:val="Normal"/>
              <w:widowControl w:val="false"/>
              <w:autoSpaceDE w:val="false"/>
              <w:rPr/>
            </w:pPr>
            <w:r>
              <w:rPr/>
              <w:t>$50mm agg xs of $360mm</w:t>
            </w:r>
          </w:p>
        </w:tc>
        <w:tc>
          <w:tcPr>
            <w:tcW w:w="2610" w:type="dxa"/>
            <w:tcBorders/>
          </w:tcPr>
          <w:p>
            <w:pPr>
              <w:pStyle w:val="Normal"/>
              <w:widowControl w:val="false"/>
              <w:autoSpaceDE w:val="false"/>
              <w:rPr/>
            </w:pPr>
            <w:r>
              <w:rPr/>
              <w:t>4/21/00-01</w:t>
            </w:r>
          </w:p>
        </w:tc>
      </w:tr>
      <w:tr>
        <w:trPr>
          <w:trHeight w:val="315" w:hRule="atLeast"/>
        </w:trPr>
        <w:tc>
          <w:tcPr>
            <w:tcW w:w="3564" w:type="dxa"/>
            <w:tcBorders/>
          </w:tcPr>
          <w:p>
            <w:pPr>
              <w:pStyle w:val="Normal"/>
              <w:widowControl w:val="false"/>
              <w:autoSpaceDE w:val="false"/>
              <w:rPr/>
            </w:pPr>
            <w:r>
              <w:rPr/>
              <w:t>Bermuda</w:t>
            </w:r>
          </w:p>
        </w:tc>
        <w:tc>
          <w:tcPr>
            <w:tcW w:w="1980" w:type="dxa"/>
            <w:tcBorders/>
          </w:tcPr>
          <w:p>
            <w:pPr>
              <w:pStyle w:val="Normal"/>
              <w:widowControl w:val="false"/>
              <w:autoSpaceDE w:val="false"/>
              <w:rPr/>
            </w:pPr>
            <w:r>
              <w:rPr/>
              <w:t>TBA</w:t>
            </w:r>
          </w:p>
        </w:tc>
        <w:tc>
          <w:tcPr>
            <w:tcW w:w="2430" w:type="dxa"/>
            <w:tcBorders/>
          </w:tcPr>
          <w:p>
            <w:pPr>
              <w:pStyle w:val="Normal"/>
              <w:widowControl w:val="false"/>
              <w:autoSpaceDE w:val="false"/>
              <w:rPr/>
            </w:pPr>
            <w:r>
              <w:rPr/>
              <w:t>$440mm agg xs of $410mm</w:t>
            </w:r>
          </w:p>
        </w:tc>
        <w:tc>
          <w:tcPr>
            <w:tcW w:w="2610" w:type="dxa"/>
            <w:tcBorders/>
          </w:tcPr>
          <w:p>
            <w:pPr>
              <w:pStyle w:val="Normal"/>
              <w:widowControl w:val="false"/>
              <w:autoSpaceDE w:val="false"/>
              <w:rPr/>
            </w:pPr>
            <w:r>
              <w:rPr/>
              <w:t>4/21/00-01</w:t>
            </w:r>
          </w:p>
        </w:tc>
      </w:tr>
      <w:tr>
        <w:trPr>
          <w:trHeight w:val="315" w:hRule="atLeast"/>
        </w:trPr>
        <w:tc>
          <w:tcPr>
            <w:tcW w:w="3564" w:type="dxa"/>
            <w:tcBorders/>
          </w:tcPr>
          <w:p>
            <w:pPr>
              <w:pStyle w:val="Normal"/>
              <w:widowControl w:val="false"/>
              <w:autoSpaceDE w:val="false"/>
              <w:rPr/>
            </w:pPr>
            <w:r>
              <w:rPr/>
              <w:t xml:space="preserve">    </w:t>
            </w:r>
            <w:r>
              <w:rPr/>
              <w:t>XL Ins. Co. ($140mm)</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 xml:space="preserve">   </w:t>
            </w:r>
            <w:r>
              <w:rPr/>
              <w:t>Ace Bermuda Ltd. ($100mm)</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 xml:space="preserve">   </w:t>
            </w:r>
            <w:r>
              <w:rPr/>
              <w:t>Starr Excess Int'l Ltd. ($100mm)</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Header"/>
              <w:widowControl w:val="false"/>
              <w:tabs>
                <w:tab w:val="clear" w:pos="4680"/>
                <w:tab w:val="clear" w:pos="9360"/>
              </w:tabs>
              <w:autoSpaceDE w:val="false"/>
              <w:rPr/>
            </w:pPr>
            <w:r>
              <w:rPr/>
              <w:t xml:space="preserve">   </w:t>
            </w:r>
            <w:r>
              <w:rPr/>
              <w:t xml:space="preserve">Zurich Global Energy Ltd. </w:t>
              <w:tab/>
              <w:t>($100mm)</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rPr>
            </w:pPr>
            <w:r>
              <w:rPr>
                <w:b/>
              </w:rPr>
              <w:t>Property</w:t>
            </w:r>
          </w:p>
        </w:tc>
        <w:tc>
          <w:tcPr>
            <w:tcW w:w="1980" w:type="dxa"/>
            <w:tcBorders/>
          </w:tcPr>
          <w:p>
            <w:pPr>
              <w:pStyle w:val="Normal"/>
              <w:widowControl w:val="false"/>
              <w:autoSpaceDE w:val="false"/>
              <w:snapToGrid w:val="false"/>
              <w:rPr>
                <w:b/>
              </w:rPr>
            </w:pPr>
            <w:r>
              <w:rPr>
                <w:b/>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snapToGrid w:val="false"/>
              <w:rPr>
                <w:b/>
              </w:rPr>
            </w:pPr>
            <w:r>
              <w:rPr>
                <w:b/>
              </w:rPr>
            </w:r>
          </w:p>
        </w:tc>
        <w:tc>
          <w:tcPr>
            <w:tcW w:w="1980" w:type="dxa"/>
            <w:tcBorders/>
          </w:tcPr>
          <w:p>
            <w:pPr>
              <w:pStyle w:val="Normal"/>
              <w:widowControl w:val="false"/>
              <w:autoSpaceDE w:val="false"/>
              <w:snapToGrid w:val="false"/>
              <w:rPr>
                <w:b/>
              </w:rPr>
            </w:pPr>
            <w:r>
              <w:rPr>
                <w:b/>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u w:val="single"/>
              </w:rPr>
            </w:pPr>
            <w:r>
              <w:rPr>
                <w:b/>
                <w:u w:val="single"/>
              </w:rPr>
              <w:t>Insurer</w:t>
            </w:r>
          </w:p>
        </w:tc>
        <w:tc>
          <w:tcPr>
            <w:tcW w:w="1980" w:type="dxa"/>
            <w:tcBorders/>
          </w:tcPr>
          <w:p>
            <w:pPr>
              <w:pStyle w:val="Normal"/>
              <w:widowControl w:val="false"/>
              <w:autoSpaceDE w:val="false"/>
              <w:rPr>
                <w:b/>
                <w:u w:val="single"/>
              </w:rPr>
            </w:pPr>
            <w:r>
              <w:rPr>
                <w:b/>
                <w:u w:val="single"/>
              </w:rPr>
              <w:t>Policy Number</w:t>
            </w:r>
          </w:p>
        </w:tc>
        <w:tc>
          <w:tcPr>
            <w:tcW w:w="2430" w:type="dxa"/>
            <w:tcBorders/>
          </w:tcPr>
          <w:p>
            <w:pPr>
              <w:pStyle w:val="Normal"/>
              <w:widowControl w:val="false"/>
              <w:autoSpaceDE w:val="false"/>
              <w:rPr>
                <w:b/>
                <w:u w:val="single"/>
              </w:rPr>
            </w:pPr>
            <w:r>
              <w:rPr>
                <w:b/>
                <w:u w:val="single"/>
              </w:rPr>
              <w:t>Policy Limits</w:t>
            </w:r>
          </w:p>
        </w:tc>
        <w:tc>
          <w:tcPr>
            <w:tcW w:w="2610" w:type="dxa"/>
            <w:tcBorders/>
          </w:tcPr>
          <w:p>
            <w:pPr>
              <w:pStyle w:val="Normal"/>
              <w:widowControl w:val="false"/>
              <w:autoSpaceDE w:val="false"/>
              <w:rPr>
                <w:b/>
                <w:u w:val="single"/>
              </w:rPr>
            </w:pPr>
            <w:r>
              <w:rPr>
                <w:b/>
                <w:u w:val="single"/>
              </w:rPr>
              <w:t>Policy Term</w:t>
            </w:r>
          </w:p>
        </w:tc>
      </w:tr>
      <w:tr>
        <w:trPr>
          <w:trHeight w:val="315" w:hRule="atLeast"/>
        </w:trPr>
        <w:tc>
          <w:tcPr>
            <w:tcW w:w="3564" w:type="dxa"/>
            <w:tcBorders/>
          </w:tcPr>
          <w:p>
            <w:pPr>
              <w:pStyle w:val="Normal"/>
              <w:widowControl w:val="false"/>
              <w:autoSpaceDE w:val="false"/>
              <w:rPr/>
            </w:pPr>
            <w:r>
              <w:rPr/>
              <w:t>Lloyd's of London  (60%)</w:t>
            </w:r>
          </w:p>
        </w:tc>
        <w:tc>
          <w:tcPr>
            <w:tcW w:w="1980" w:type="dxa"/>
            <w:tcBorders/>
          </w:tcPr>
          <w:p>
            <w:pPr>
              <w:pStyle w:val="Normal"/>
              <w:widowControl w:val="false"/>
              <w:autoSpaceDE w:val="false"/>
              <w:rPr/>
            </w:pPr>
            <w:r>
              <w:rPr/>
              <w:t>LU0028583</w:t>
            </w:r>
          </w:p>
        </w:tc>
        <w:tc>
          <w:tcPr>
            <w:tcW w:w="2430" w:type="dxa"/>
            <w:tcBorders/>
          </w:tcPr>
          <w:p>
            <w:pPr>
              <w:pStyle w:val="Normal"/>
              <w:widowControl w:val="false"/>
              <w:autoSpaceDE w:val="false"/>
              <w:rPr/>
            </w:pPr>
            <w:r>
              <w:rPr/>
              <w:t>$150mm per occ</w:t>
            </w:r>
          </w:p>
        </w:tc>
        <w:tc>
          <w:tcPr>
            <w:tcW w:w="2610" w:type="dxa"/>
            <w:tcBorders/>
          </w:tcPr>
          <w:p>
            <w:pPr>
              <w:pStyle w:val="Normal"/>
              <w:widowControl w:val="false"/>
              <w:autoSpaceDE w:val="false"/>
              <w:rPr/>
            </w:pPr>
            <w:r>
              <w:rPr/>
              <w:t>3/1/00-01</w:t>
            </w:r>
          </w:p>
        </w:tc>
      </w:tr>
      <w:tr>
        <w:trPr>
          <w:trHeight w:val="315" w:hRule="atLeast"/>
        </w:trPr>
        <w:tc>
          <w:tcPr>
            <w:tcW w:w="3564" w:type="dxa"/>
            <w:tcBorders/>
          </w:tcPr>
          <w:p>
            <w:pPr>
              <w:pStyle w:val="Normal"/>
              <w:widowControl w:val="false"/>
              <w:autoSpaceDE w:val="false"/>
              <w:rPr/>
            </w:pPr>
            <w:r>
              <w:rPr/>
              <w:t>Swiss Re  (20%)</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rPr/>
            </w:pPr>
            <w:r>
              <w:rPr/>
              <w:t xml:space="preserve">$150mm agg for </w:t>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Great Lakes Reinsurance (10%)</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rPr/>
            </w:pPr>
            <w:r>
              <w:rPr/>
              <w:t>Flood &amp; Eq. Except CA</w:t>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Houston Casualty Co.  (10%)</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rPr/>
            </w:pPr>
            <w:r>
              <w:rPr/>
              <w:t>EQ $50mm agg</w:t>
            </w:r>
          </w:p>
        </w:tc>
        <w:tc>
          <w:tcPr>
            <w:tcW w:w="2610" w:type="dxa"/>
            <w:tcBorders/>
          </w:tcPr>
          <w:p>
            <w:pPr>
              <w:pStyle w:val="Normal"/>
              <w:widowControl w:val="false"/>
              <w:autoSpaceDE w:val="false"/>
              <w:snapToGrid w:val="false"/>
              <w:rPr/>
            </w:pPr>
            <w:r>
              <w:rPr/>
            </w:r>
          </w:p>
        </w:tc>
      </w:tr>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rPr>
            </w:pPr>
            <w:r>
              <w:rPr>
                <w:b/>
              </w:rPr>
              <w:t>Property (Excess Layer)</w:t>
            </w:r>
          </w:p>
        </w:tc>
        <w:tc>
          <w:tcPr>
            <w:tcW w:w="1980" w:type="dxa"/>
            <w:tcBorders/>
          </w:tcPr>
          <w:p>
            <w:pPr>
              <w:pStyle w:val="Normal"/>
              <w:widowControl w:val="false"/>
              <w:autoSpaceDE w:val="false"/>
              <w:rPr/>
            </w:pPr>
            <w:r>
              <w:rPr/>
              <w:t>LU0028579</w:t>
            </w:r>
          </w:p>
        </w:tc>
        <w:tc>
          <w:tcPr>
            <w:tcW w:w="2430" w:type="dxa"/>
            <w:tcBorders/>
          </w:tcPr>
          <w:p>
            <w:pPr>
              <w:pStyle w:val="Normal"/>
              <w:widowControl w:val="false"/>
              <w:autoSpaceDE w:val="false"/>
              <w:rPr/>
            </w:pPr>
            <w:r>
              <w:rPr/>
              <w:t>$600mm Onshore</w:t>
            </w:r>
          </w:p>
        </w:tc>
        <w:tc>
          <w:tcPr>
            <w:tcW w:w="2610" w:type="dxa"/>
            <w:tcBorders/>
          </w:tcPr>
          <w:p>
            <w:pPr>
              <w:pStyle w:val="Normal"/>
              <w:widowControl w:val="false"/>
              <w:autoSpaceDE w:val="false"/>
              <w:rPr/>
            </w:pPr>
            <w:r>
              <w:rPr/>
              <w:t>3/1/00-01</w:t>
            </w:r>
          </w:p>
        </w:tc>
      </w:tr>
      <w:tr>
        <w:trPr>
          <w:trHeight w:val="315" w:hRule="atLeast"/>
        </w:trPr>
        <w:tc>
          <w:tcPr>
            <w:tcW w:w="3564" w:type="dxa"/>
            <w:tcBorders/>
          </w:tcPr>
          <w:p>
            <w:pPr>
              <w:pStyle w:val="Normal"/>
              <w:widowControl w:val="false"/>
              <w:autoSpaceDE w:val="false"/>
              <w:rPr/>
            </w:pPr>
            <w:r>
              <w:rPr/>
              <w:t>Lloyd's of London  (65%)</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Harrington International Ins. Ltd. (30%)</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Houston Casualty Co.  (5%)</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bl>
    <w:p>
      <w:pPr>
        <w:pStyle w:val="Normal"/>
        <w:jc w:val="center"/>
        <w:rPr/>
      </w:pPr>
      <w:r>
        <w:br w:type="page"/>
      </w:r>
      <w:r>
        <w:rPr/>
        <w:t>PURCHASE AND SALE AGREEMENT</w:t>
      </w:r>
    </w:p>
    <w:p>
      <w:pPr>
        <w:pStyle w:val="Normal"/>
        <w:jc w:val="center"/>
        <w:rPr/>
      </w:pPr>
      <w:r>
        <w:rPr/>
      </w:r>
    </w:p>
    <w:p>
      <w:pPr>
        <w:pStyle w:val="Normal"/>
        <w:jc w:val="center"/>
        <w:rPr/>
      </w:pPr>
      <w:r>
        <w:rPr/>
        <w:t>Schedule 4.16</w:t>
      </w:r>
    </w:p>
    <w:p>
      <w:pPr>
        <w:pStyle w:val="Normal"/>
        <w:jc w:val="center"/>
        <w:rPr/>
      </w:pPr>
      <w:r>
        <w:rPr/>
        <w:t>Summary of Insurance, continued (page 2)</w:t>
      </w:r>
    </w:p>
    <w:p>
      <w:pPr>
        <w:pStyle w:val="Normal"/>
        <w:rPr/>
      </w:pPr>
      <w:r>
        <w:rPr/>
      </w:r>
    </w:p>
    <w:tbl>
      <w:tblPr>
        <w:tblW w:w="10584" w:type="dxa"/>
        <w:jc w:val="start"/>
        <w:tblInd w:w="0" w:type="dxa"/>
        <w:tblLayout w:type="fixed"/>
        <w:tblCellMar>
          <w:top w:w="0" w:type="dxa"/>
          <w:start w:w="54" w:type="dxa"/>
          <w:bottom w:w="0" w:type="dxa"/>
          <w:end w:w="54" w:type="dxa"/>
        </w:tblCellMar>
      </w:tblPr>
      <w:tblGrid>
        <w:gridCol w:w="3564"/>
        <w:gridCol w:w="1980"/>
        <w:gridCol w:w="2430"/>
        <w:gridCol w:w="2610"/>
      </w:tblGrid>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rPr>
            </w:pPr>
            <w:r>
              <w:rPr>
                <w:b/>
              </w:rPr>
              <w:t>Directors &amp; Officers Liability</w:t>
            </w:r>
          </w:p>
        </w:tc>
        <w:tc>
          <w:tcPr>
            <w:tcW w:w="1980" w:type="dxa"/>
            <w:tcBorders/>
          </w:tcPr>
          <w:p>
            <w:pPr>
              <w:pStyle w:val="Normal"/>
              <w:widowControl w:val="false"/>
              <w:autoSpaceDE w:val="false"/>
              <w:snapToGrid w:val="false"/>
              <w:rPr>
                <w:b/>
              </w:rPr>
            </w:pPr>
            <w:r>
              <w:rPr>
                <w:b/>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u w:val="single"/>
              </w:rPr>
            </w:pPr>
            <w:r>
              <w:rPr>
                <w:b/>
                <w:u w:val="single"/>
              </w:rPr>
              <w:t>Insurer</w:t>
            </w:r>
          </w:p>
        </w:tc>
        <w:tc>
          <w:tcPr>
            <w:tcW w:w="1980" w:type="dxa"/>
            <w:tcBorders/>
          </w:tcPr>
          <w:p>
            <w:pPr>
              <w:pStyle w:val="Normal"/>
              <w:widowControl w:val="false"/>
              <w:autoSpaceDE w:val="false"/>
              <w:rPr>
                <w:b/>
                <w:u w:val="single"/>
              </w:rPr>
            </w:pPr>
            <w:r>
              <w:rPr>
                <w:b/>
                <w:u w:val="single"/>
              </w:rPr>
              <w:t>Policy Number</w:t>
            </w:r>
          </w:p>
        </w:tc>
        <w:tc>
          <w:tcPr>
            <w:tcW w:w="2430" w:type="dxa"/>
            <w:tcBorders/>
          </w:tcPr>
          <w:p>
            <w:pPr>
              <w:pStyle w:val="Normal"/>
              <w:widowControl w:val="false"/>
              <w:autoSpaceDE w:val="false"/>
              <w:rPr>
                <w:b/>
                <w:u w:val="single"/>
              </w:rPr>
            </w:pPr>
            <w:r>
              <w:rPr>
                <w:b/>
                <w:u w:val="single"/>
              </w:rPr>
              <w:t>Policy Limits</w:t>
            </w:r>
          </w:p>
        </w:tc>
        <w:tc>
          <w:tcPr>
            <w:tcW w:w="2610" w:type="dxa"/>
            <w:tcBorders/>
          </w:tcPr>
          <w:p>
            <w:pPr>
              <w:pStyle w:val="Normal"/>
              <w:widowControl w:val="false"/>
              <w:autoSpaceDE w:val="false"/>
              <w:rPr>
                <w:b/>
                <w:u w:val="single"/>
              </w:rPr>
            </w:pPr>
            <w:r>
              <w:rPr>
                <w:b/>
                <w:u w:val="single"/>
              </w:rPr>
              <w:t>Policy Term</w:t>
            </w:r>
          </w:p>
        </w:tc>
      </w:tr>
      <w:tr>
        <w:trPr>
          <w:trHeight w:val="315" w:hRule="atLeast"/>
        </w:trPr>
        <w:tc>
          <w:tcPr>
            <w:tcW w:w="3564" w:type="dxa"/>
            <w:tcBorders/>
          </w:tcPr>
          <w:p>
            <w:pPr>
              <w:pStyle w:val="Normal"/>
              <w:widowControl w:val="false"/>
              <w:autoSpaceDE w:val="false"/>
              <w:rPr/>
            </w:pPr>
            <w:r>
              <w:rPr/>
              <w:t>AEGIS Insurance Services (D&amp;O)</w:t>
            </w:r>
          </w:p>
        </w:tc>
        <w:tc>
          <w:tcPr>
            <w:tcW w:w="1980" w:type="dxa"/>
            <w:tcBorders/>
          </w:tcPr>
          <w:p>
            <w:pPr>
              <w:pStyle w:val="Normal"/>
              <w:widowControl w:val="false"/>
              <w:autoSpaceDE w:val="false"/>
              <w:rPr/>
            </w:pPr>
            <w:r>
              <w:rPr/>
              <w:t>D0079A1A98</w:t>
            </w:r>
          </w:p>
        </w:tc>
        <w:tc>
          <w:tcPr>
            <w:tcW w:w="2430" w:type="dxa"/>
            <w:tcBorders/>
          </w:tcPr>
          <w:p>
            <w:pPr>
              <w:pStyle w:val="Normal"/>
              <w:widowControl w:val="false"/>
              <w:autoSpaceDE w:val="false"/>
              <w:rPr/>
            </w:pPr>
            <w:r>
              <w:rPr/>
              <w:t>$35mm agg</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AEGIS Insurance Services (GPL)</w:t>
            </w:r>
          </w:p>
        </w:tc>
        <w:tc>
          <w:tcPr>
            <w:tcW w:w="1980" w:type="dxa"/>
            <w:tcBorders/>
          </w:tcPr>
          <w:p>
            <w:pPr>
              <w:pStyle w:val="Normal"/>
              <w:widowControl w:val="false"/>
              <w:autoSpaceDE w:val="false"/>
              <w:rPr/>
            </w:pPr>
            <w:r>
              <w:rPr/>
              <w:t>P051A1A98</w:t>
            </w:r>
          </w:p>
        </w:tc>
        <w:tc>
          <w:tcPr>
            <w:tcW w:w="2430" w:type="dxa"/>
            <w:tcBorders/>
          </w:tcPr>
          <w:p>
            <w:pPr>
              <w:pStyle w:val="Normal"/>
              <w:widowControl w:val="false"/>
              <w:autoSpaceDE w:val="false"/>
              <w:rPr/>
            </w:pPr>
            <w:r>
              <w:rPr/>
              <w:t xml:space="preserve">$35mm agg </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Energy Insurance Mutual</w:t>
            </w:r>
          </w:p>
        </w:tc>
        <w:tc>
          <w:tcPr>
            <w:tcW w:w="1980" w:type="dxa"/>
            <w:tcBorders/>
          </w:tcPr>
          <w:p>
            <w:pPr>
              <w:pStyle w:val="Normal"/>
              <w:widowControl w:val="false"/>
              <w:autoSpaceDE w:val="false"/>
              <w:rPr/>
            </w:pPr>
            <w:r>
              <w:rPr/>
              <w:t>90047798DO</w:t>
            </w:r>
          </w:p>
        </w:tc>
        <w:tc>
          <w:tcPr>
            <w:tcW w:w="2430" w:type="dxa"/>
            <w:tcBorders/>
          </w:tcPr>
          <w:p>
            <w:pPr>
              <w:pStyle w:val="Normal"/>
              <w:widowControl w:val="false"/>
              <w:autoSpaceDE w:val="false"/>
              <w:rPr/>
            </w:pPr>
            <w:r>
              <w:rPr/>
              <w:t>$65mm agg xs of $35mm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Federal Ins. Co. (Chubb)</w:t>
            </w:r>
          </w:p>
        </w:tc>
        <w:tc>
          <w:tcPr>
            <w:tcW w:w="1980" w:type="dxa"/>
            <w:tcBorders/>
          </w:tcPr>
          <w:p>
            <w:pPr>
              <w:pStyle w:val="Normal"/>
              <w:widowControl w:val="false"/>
              <w:autoSpaceDE w:val="false"/>
              <w:rPr/>
            </w:pPr>
            <w:r>
              <w:rPr/>
              <w:t>8142-0547</w:t>
            </w:r>
          </w:p>
        </w:tc>
        <w:tc>
          <w:tcPr>
            <w:tcW w:w="2430" w:type="dxa"/>
            <w:tcBorders/>
          </w:tcPr>
          <w:p>
            <w:pPr>
              <w:pStyle w:val="Normal"/>
              <w:widowControl w:val="false"/>
              <w:autoSpaceDE w:val="false"/>
              <w:rPr/>
            </w:pPr>
            <w:r>
              <w:rPr/>
              <w:t>$25mm agg xs of $100mm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Reliance</w:t>
            </w:r>
          </w:p>
        </w:tc>
        <w:tc>
          <w:tcPr>
            <w:tcW w:w="1980" w:type="dxa"/>
            <w:tcBorders/>
          </w:tcPr>
          <w:p>
            <w:pPr>
              <w:pStyle w:val="Normal"/>
              <w:widowControl w:val="false"/>
              <w:autoSpaceDE w:val="false"/>
              <w:rPr/>
            </w:pPr>
            <w:r>
              <w:rPr/>
              <w:t>NDA013130198</w:t>
            </w:r>
          </w:p>
        </w:tc>
        <w:tc>
          <w:tcPr>
            <w:tcW w:w="2430" w:type="dxa"/>
            <w:tcBorders/>
          </w:tcPr>
          <w:p>
            <w:pPr>
              <w:pStyle w:val="Normal"/>
              <w:widowControl w:val="false"/>
              <w:autoSpaceDE w:val="false"/>
              <w:rPr/>
            </w:pPr>
            <w:r>
              <w:rPr/>
              <w:t>$25mm agg xs of $125mm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Executive Risk</w:t>
            </w:r>
          </w:p>
        </w:tc>
        <w:tc>
          <w:tcPr>
            <w:tcW w:w="1980" w:type="dxa"/>
            <w:tcBorders/>
          </w:tcPr>
          <w:p>
            <w:pPr>
              <w:pStyle w:val="Normal"/>
              <w:widowControl w:val="false"/>
              <w:autoSpaceDE w:val="false"/>
              <w:rPr/>
            </w:pPr>
            <w:r>
              <w:rPr/>
              <w:t>75213995598</w:t>
            </w:r>
          </w:p>
        </w:tc>
        <w:tc>
          <w:tcPr>
            <w:tcW w:w="2430" w:type="dxa"/>
            <w:tcBorders/>
          </w:tcPr>
          <w:p>
            <w:pPr>
              <w:pStyle w:val="Normal"/>
              <w:widowControl w:val="false"/>
              <w:autoSpaceDE w:val="false"/>
              <w:rPr/>
            </w:pPr>
            <w:r>
              <w:rPr/>
              <w:t>$25mm agg xs of $150mm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Lloyds of London</w:t>
            </w:r>
          </w:p>
        </w:tc>
        <w:tc>
          <w:tcPr>
            <w:tcW w:w="1980" w:type="dxa"/>
            <w:tcBorders/>
          </w:tcPr>
          <w:p>
            <w:pPr>
              <w:pStyle w:val="Normal"/>
              <w:widowControl w:val="false"/>
              <w:autoSpaceDE w:val="false"/>
              <w:rPr/>
            </w:pPr>
            <w:r>
              <w:rPr/>
              <w:t>901LK9802531</w:t>
            </w:r>
          </w:p>
        </w:tc>
        <w:tc>
          <w:tcPr>
            <w:tcW w:w="2430" w:type="dxa"/>
            <w:tcBorders/>
          </w:tcPr>
          <w:p>
            <w:pPr>
              <w:pStyle w:val="Normal"/>
              <w:widowControl w:val="false"/>
              <w:autoSpaceDE w:val="false"/>
              <w:rPr/>
            </w:pPr>
            <w:r>
              <w:rPr/>
              <w:t>$25mm agg xs of $175mm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ACE</w:t>
            </w:r>
          </w:p>
        </w:tc>
        <w:tc>
          <w:tcPr>
            <w:tcW w:w="1980" w:type="dxa"/>
            <w:tcBorders/>
          </w:tcPr>
          <w:p>
            <w:pPr>
              <w:pStyle w:val="Normal"/>
              <w:widowControl w:val="false"/>
              <w:autoSpaceDE w:val="false"/>
              <w:rPr/>
            </w:pPr>
            <w:r>
              <w:rPr/>
              <w:t>ENE8920D</w:t>
            </w:r>
          </w:p>
        </w:tc>
        <w:tc>
          <w:tcPr>
            <w:tcW w:w="2430" w:type="dxa"/>
            <w:tcBorders/>
          </w:tcPr>
          <w:p>
            <w:pPr>
              <w:pStyle w:val="Normal"/>
              <w:widowControl w:val="false"/>
              <w:autoSpaceDE w:val="false"/>
              <w:rPr/>
            </w:pPr>
            <w:r>
              <w:rPr/>
              <w:t>$45mm agg xs of $200mm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Royal Ins. Co.</w:t>
            </w:r>
          </w:p>
        </w:tc>
        <w:tc>
          <w:tcPr>
            <w:tcW w:w="1980" w:type="dxa"/>
            <w:tcBorders/>
          </w:tcPr>
          <w:p>
            <w:pPr>
              <w:pStyle w:val="Normal"/>
              <w:widowControl w:val="false"/>
              <w:autoSpaceDE w:val="false"/>
              <w:rPr/>
            </w:pPr>
            <w:r>
              <w:rPr/>
              <w:t>PSF0006333</w:t>
            </w:r>
          </w:p>
        </w:tc>
        <w:tc>
          <w:tcPr>
            <w:tcW w:w="2430" w:type="dxa"/>
            <w:tcBorders/>
          </w:tcPr>
          <w:p>
            <w:pPr>
              <w:pStyle w:val="Normal"/>
              <w:widowControl w:val="false"/>
              <w:autoSpaceDE w:val="false"/>
              <w:rPr/>
            </w:pPr>
            <w:r>
              <w:rPr/>
              <w:t>$25mm agg xs of $245mm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Federal Ins. Co. (Chubb)</w:t>
            </w:r>
          </w:p>
        </w:tc>
        <w:tc>
          <w:tcPr>
            <w:tcW w:w="1980" w:type="dxa"/>
            <w:tcBorders/>
          </w:tcPr>
          <w:p>
            <w:pPr>
              <w:pStyle w:val="Normal"/>
              <w:widowControl w:val="false"/>
              <w:autoSpaceDE w:val="false"/>
              <w:rPr/>
            </w:pPr>
            <w:r>
              <w:rPr/>
              <w:t>8152-8579</w:t>
            </w:r>
          </w:p>
        </w:tc>
        <w:tc>
          <w:tcPr>
            <w:tcW w:w="2430" w:type="dxa"/>
            <w:tcBorders/>
          </w:tcPr>
          <w:p>
            <w:pPr>
              <w:pStyle w:val="Normal"/>
              <w:widowControl w:val="false"/>
              <w:autoSpaceDE w:val="false"/>
              <w:rPr/>
            </w:pPr>
            <w:r>
              <w:rPr/>
              <w:t>$25mm agg xs of $270mm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ACE</w:t>
            </w:r>
          </w:p>
        </w:tc>
        <w:tc>
          <w:tcPr>
            <w:tcW w:w="1980" w:type="dxa"/>
            <w:tcBorders/>
          </w:tcPr>
          <w:p>
            <w:pPr>
              <w:pStyle w:val="Normal"/>
              <w:widowControl w:val="false"/>
              <w:autoSpaceDE w:val="false"/>
              <w:rPr/>
            </w:pPr>
            <w:r>
              <w:rPr/>
              <w:t>ENE8920D</w:t>
            </w:r>
          </w:p>
        </w:tc>
        <w:tc>
          <w:tcPr>
            <w:tcW w:w="2430" w:type="dxa"/>
            <w:tcBorders/>
          </w:tcPr>
          <w:p>
            <w:pPr>
              <w:pStyle w:val="Normal"/>
              <w:widowControl w:val="false"/>
              <w:autoSpaceDE w:val="false"/>
              <w:rPr/>
            </w:pPr>
            <w:r>
              <w:rPr/>
              <w:t>$5mm agg xs of $295mm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Heading2"/>
              <w:ind w:hanging="0" w:start="0"/>
              <w:rPr/>
            </w:pPr>
            <w:r>
              <w:rPr/>
              <w:t>Fiduciary Liability</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u w:val="single"/>
              </w:rPr>
            </w:pPr>
            <w:r>
              <w:rPr>
                <w:b/>
                <w:u w:val="single"/>
              </w:rPr>
              <w:t>Insurer</w:t>
            </w:r>
          </w:p>
        </w:tc>
        <w:tc>
          <w:tcPr>
            <w:tcW w:w="1980" w:type="dxa"/>
            <w:tcBorders/>
          </w:tcPr>
          <w:p>
            <w:pPr>
              <w:pStyle w:val="Normal"/>
              <w:widowControl w:val="false"/>
              <w:autoSpaceDE w:val="false"/>
              <w:rPr>
                <w:b/>
                <w:u w:val="single"/>
              </w:rPr>
            </w:pPr>
            <w:r>
              <w:rPr>
                <w:b/>
                <w:u w:val="single"/>
              </w:rPr>
              <w:t>Policy Number</w:t>
            </w:r>
          </w:p>
        </w:tc>
        <w:tc>
          <w:tcPr>
            <w:tcW w:w="2430" w:type="dxa"/>
            <w:tcBorders/>
          </w:tcPr>
          <w:p>
            <w:pPr>
              <w:pStyle w:val="Normal"/>
              <w:widowControl w:val="false"/>
              <w:autoSpaceDE w:val="false"/>
              <w:rPr>
                <w:b/>
                <w:u w:val="single"/>
              </w:rPr>
            </w:pPr>
            <w:r>
              <w:rPr>
                <w:b/>
                <w:u w:val="single"/>
              </w:rPr>
              <w:t>Policy Limits</w:t>
            </w:r>
          </w:p>
        </w:tc>
        <w:tc>
          <w:tcPr>
            <w:tcW w:w="2610" w:type="dxa"/>
            <w:tcBorders/>
          </w:tcPr>
          <w:p>
            <w:pPr>
              <w:pStyle w:val="Normal"/>
              <w:widowControl w:val="false"/>
              <w:autoSpaceDE w:val="false"/>
              <w:rPr>
                <w:b/>
                <w:u w:val="single"/>
              </w:rPr>
            </w:pPr>
            <w:r>
              <w:rPr>
                <w:b/>
                <w:u w:val="single"/>
              </w:rPr>
              <w:t>Policy Term</w:t>
            </w:r>
          </w:p>
        </w:tc>
      </w:tr>
      <w:tr>
        <w:trPr>
          <w:trHeight w:val="315" w:hRule="atLeast"/>
        </w:trPr>
        <w:tc>
          <w:tcPr>
            <w:tcW w:w="3564" w:type="dxa"/>
            <w:tcBorders/>
          </w:tcPr>
          <w:p>
            <w:pPr>
              <w:pStyle w:val="Normal"/>
              <w:widowControl w:val="false"/>
              <w:autoSpaceDE w:val="false"/>
              <w:rPr/>
            </w:pPr>
            <w:r>
              <w:rPr/>
              <w:t>AEGIS Insurance Services, Inc.</w:t>
            </w:r>
          </w:p>
        </w:tc>
        <w:tc>
          <w:tcPr>
            <w:tcW w:w="1980" w:type="dxa"/>
            <w:tcBorders/>
          </w:tcPr>
          <w:p>
            <w:pPr>
              <w:pStyle w:val="Normal"/>
              <w:widowControl w:val="false"/>
              <w:autoSpaceDE w:val="false"/>
              <w:rPr/>
            </w:pPr>
            <w:r>
              <w:rPr/>
              <w:t>F0079A1A99</w:t>
            </w:r>
          </w:p>
        </w:tc>
        <w:tc>
          <w:tcPr>
            <w:tcW w:w="2430" w:type="dxa"/>
            <w:tcBorders/>
          </w:tcPr>
          <w:p>
            <w:pPr>
              <w:pStyle w:val="Normal"/>
              <w:widowControl w:val="false"/>
              <w:autoSpaceDE w:val="false"/>
              <w:rPr/>
            </w:pPr>
            <w:r>
              <w:rPr/>
              <w:t>$35mm agg</w:t>
            </w:r>
          </w:p>
        </w:tc>
        <w:tc>
          <w:tcPr>
            <w:tcW w:w="2610" w:type="dxa"/>
            <w:tcBorders/>
          </w:tcPr>
          <w:p>
            <w:pPr>
              <w:pStyle w:val="Normal"/>
              <w:widowControl w:val="false"/>
              <w:autoSpaceDE w:val="false"/>
              <w:rPr/>
            </w:pPr>
            <w:r>
              <w:rPr/>
              <w:t>5/15/99-02</w:t>
            </w:r>
          </w:p>
        </w:tc>
      </w:tr>
      <w:tr>
        <w:trPr>
          <w:trHeight w:val="315" w:hRule="atLeast"/>
        </w:trPr>
        <w:tc>
          <w:tcPr>
            <w:tcW w:w="3564" w:type="dxa"/>
            <w:tcBorders/>
          </w:tcPr>
          <w:p>
            <w:pPr>
              <w:pStyle w:val="Normal"/>
              <w:widowControl w:val="false"/>
              <w:autoSpaceDE w:val="false"/>
              <w:rPr/>
            </w:pPr>
            <w:r>
              <w:rPr/>
              <w:t>Energy Insurance Mutual</w:t>
            </w:r>
          </w:p>
        </w:tc>
        <w:tc>
          <w:tcPr>
            <w:tcW w:w="1980" w:type="dxa"/>
            <w:tcBorders/>
          </w:tcPr>
          <w:p>
            <w:pPr>
              <w:pStyle w:val="Normal"/>
              <w:widowControl w:val="false"/>
              <w:autoSpaceDE w:val="false"/>
              <w:rPr/>
            </w:pPr>
            <w:r>
              <w:rPr/>
              <w:t>8146-4184A</w:t>
            </w:r>
          </w:p>
        </w:tc>
        <w:tc>
          <w:tcPr>
            <w:tcW w:w="2430" w:type="dxa"/>
            <w:tcBorders/>
          </w:tcPr>
          <w:p>
            <w:pPr>
              <w:pStyle w:val="Normal"/>
              <w:widowControl w:val="false"/>
              <w:autoSpaceDE w:val="false"/>
              <w:rPr/>
            </w:pPr>
            <w:r>
              <w:rPr/>
              <w:t>$50mm agg xs of $35mm</w:t>
            </w:r>
          </w:p>
        </w:tc>
        <w:tc>
          <w:tcPr>
            <w:tcW w:w="2610" w:type="dxa"/>
            <w:tcBorders/>
          </w:tcPr>
          <w:p>
            <w:pPr>
              <w:pStyle w:val="Normal"/>
              <w:widowControl w:val="false"/>
              <w:autoSpaceDE w:val="false"/>
              <w:rPr/>
            </w:pPr>
            <w:r>
              <w:rPr/>
              <w:t>5/15/99-02</w:t>
            </w:r>
          </w:p>
        </w:tc>
      </w:tr>
    </w:tbl>
    <w:p>
      <w:pPr>
        <w:pStyle w:val="Normal"/>
        <w:widowControl w:val="false"/>
        <w:autoSpaceDE w:val="false"/>
        <w:rPr>
          <w:sz w:val="20"/>
        </w:rPr>
      </w:pPr>
      <w:r>
        <w:rPr>
          <w:sz w:val="20"/>
        </w:rPr>
      </w:r>
    </w:p>
    <w:p>
      <w:pPr>
        <w:pStyle w:val="Header"/>
        <w:tabs>
          <w:tab w:val="clear" w:pos="4680"/>
          <w:tab w:val="clear" w:pos="9360"/>
        </w:tabs>
        <w:rPr>
          <w:b/>
        </w:rPr>
      </w:pPr>
      <w:r>
        <w:rPr>
          <w:b/>
        </w:rPr>
        <w:t>Insurance by Third Parties</w:t>
      </w:r>
    </w:p>
    <w:p>
      <w:pPr>
        <w:pStyle w:val="Header"/>
        <w:tabs>
          <w:tab w:val="clear" w:pos="4680"/>
          <w:tab w:val="clear" w:pos="9360"/>
        </w:tabs>
        <w:rPr>
          <w:b/>
        </w:rPr>
      </w:pPr>
      <w:r>
        <w:rPr>
          <w:b/>
        </w:rPr>
      </w:r>
    </w:p>
    <w:p>
      <w:pPr>
        <w:pStyle w:val="Header"/>
        <w:tabs>
          <w:tab w:val="clear" w:pos="4680"/>
          <w:tab w:val="clear" w:pos="9360"/>
        </w:tabs>
        <w:rPr/>
      </w:pPr>
      <w:r>
        <w:rPr>
          <w:b/>
          <w:u w:val="single"/>
        </w:rPr>
        <w:t>Facility</w:t>
      </w:r>
      <w:r>
        <w:rPr>
          <w:b/>
        </w:rPr>
        <w:tab/>
        <w:tab/>
        <w:tab/>
        <w:tab/>
      </w:r>
      <w:r>
        <w:rPr>
          <w:b/>
          <w:u w:val="single"/>
        </w:rPr>
        <w:t>Agreement</w:t>
      </w:r>
    </w:p>
    <w:p>
      <w:pPr>
        <w:pStyle w:val="Header"/>
        <w:tabs>
          <w:tab w:val="clear" w:pos="4680"/>
          <w:tab w:val="clear" w:pos="9360"/>
        </w:tabs>
        <w:rPr/>
      </w:pPr>
      <w:r>
        <w:rPr/>
        <w:t>Hanover Measurement Services</w:t>
        <w:tab/>
        <w:t xml:space="preserve">Measurement Services Agreement: Article 14 </w:t>
      </w:r>
    </w:p>
    <w:p>
      <w:pPr>
        <w:pStyle w:val="Header"/>
        <w:tabs>
          <w:tab w:val="clear" w:pos="4680"/>
          <w:tab w:val="clear" w:pos="9360"/>
        </w:tabs>
        <w:ind w:firstLine="720" w:start="2880" w:end="0"/>
        <w:rPr/>
      </w:pPr>
      <w:r>
        <w:rPr/>
        <w:t>and Appendix 3</w:t>
      </w:r>
    </w:p>
    <w:p>
      <w:pPr>
        <w:pStyle w:val="Header"/>
        <w:tabs>
          <w:tab w:val="clear" w:pos="4680"/>
          <w:tab w:val="clear" w:pos="9360"/>
        </w:tabs>
        <w:rPr/>
      </w:pPr>
      <w:r>
        <w:rPr/>
      </w:r>
    </w:p>
    <w:p>
      <w:pPr>
        <w:pStyle w:val="Header"/>
        <w:tabs>
          <w:tab w:val="clear" w:pos="4680"/>
          <w:tab w:val="clear" w:pos="9360"/>
        </w:tabs>
        <w:ind w:hanging="3600" w:start="3600" w:end="0"/>
        <w:rPr/>
      </w:pPr>
      <w:r>
        <w:rPr/>
        <w:t>Hanover Compression</w:t>
        <w:tab/>
        <w:t>Compression Management Agreement: Section 7 and Appendix 1</w:t>
      </w:r>
    </w:p>
    <w:p>
      <w:pPr>
        <w:pStyle w:val="Header"/>
        <w:tabs>
          <w:tab w:val="clear" w:pos="4680"/>
          <w:tab w:val="clear" w:pos="9360"/>
        </w:tabs>
        <w:ind w:hanging="3600" w:start="3600" w:end="0"/>
        <w:rPr/>
      </w:pPr>
      <w:r>
        <w:rPr/>
      </w:r>
    </w:p>
    <w:p>
      <w:pPr>
        <w:pStyle w:val="Header"/>
        <w:tabs>
          <w:tab w:val="clear" w:pos="4680"/>
          <w:tab w:val="clear" w:pos="9360"/>
        </w:tabs>
        <w:ind w:hanging="3600" w:start="3600" w:end="0"/>
        <w:rPr/>
      </w:pPr>
      <w:r>
        <w:rPr/>
        <w:t>Gulf Energy Pipeline LLC (Tejas)</w:t>
        <w:tab/>
        <w:t>Section 5.12</w:t>
      </w:r>
    </w:p>
    <w:p>
      <w:pPr>
        <w:pStyle w:val="Header"/>
        <w:tabs>
          <w:tab w:val="clear" w:pos="4680"/>
          <w:tab w:val="clear" w:pos="9360"/>
        </w:tabs>
        <w:ind w:hanging="3600" w:start="3600" w:end="0"/>
        <w:rPr/>
      </w:pPr>
      <w:r>
        <w:rPr/>
        <w:t>Big Cowboy Line</w:t>
      </w:r>
    </w:p>
    <w:p>
      <w:pPr>
        <w:pStyle w:val="Header"/>
        <w:tabs>
          <w:tab w:val="clear" w:pos="4680"/>
          <w:tab w:val="clear" w:pos="9360"/>
        </w:tabs>
        <w:ind w:hanging="3600" w:start="3600" w:end="0"/>
        <w:rPr/>
      </w:pPr>
      <w:r>
        <w:rPr/>
      </w:r>
    </w:p>
    <w:p>
      <w:pPr>
        <w:pStyle w:val="Header"/>
        <w:tabs>
          <w:tab w:val="clear" w:pos="4680"/>
          <w:tab w:val="clear" w:pos="9360"/>
        </w:tabs>
        <w:ind w:hanging="3600" w:start="3600" w:end="0"/>
        <w:rPr/>
      </w:pPr>
      <w:r>
        <w:rPr/>
        <w:t xml:space="preserve">El Paso Field Services - </w:t>
        <w:tab/>
        <w:t>Operation and Maintenance Agreement: Article 9 and</w:t>
      </w:r>
    </w:p>
    <w:p>
      <w:pPr>
        <w:pStyle w:val="Header"/>
        <w:tabs>
          <w:tab w:val="clear" w:pos="4680"/>
          <w:tab w:val="clear" w:pos="9360"/>
        </w:tabs>
        <w:ind w:hanging="3600" w:start="3600" w:end="0"/>
        <w:rPr/>
      </w:pPr>
      <w:r>
        <w:rPr/>
        <w:t>A/S pipeline</w:t>
        <w:tab/>
        <w:t>Exhibit B</w:t>
      </w:r>
    </w:p>
    <w:p>
      <w:pPr>
        <w:pStyle w:val="Header"/>
        <w:tabs>
          <w:tab w:val="clear" w:pos="4680"/>
          <w:tab w:val="clear" w:pos="9360"/>
        </w:tabs>
        <w:ind w:hanging="3600" w:start="3600" w:end="0"/>
        <w:rPr/>
      </w:pPr>
      <w:r>
        <w:rPr/>
      </w:r>
    </w:p>
    <w:p>
      <w:pPr>
        <w:pStyle w:val="Header"/>
        <w:tabs>
          <w:tab w:val="clear" w:pos="4680"/>
          <w:tab w:val="clear" w:pos="9360"/>
        </w:tabs>
        <w:ind w:hanging="3600" w:start="3600" w:end="0"/>
        <w:rPr/>
      </w:pPr>
      <w:r>
        <w:rPr/>
        <w:t>Hanover Compression Speaks</w:t>
        <w:tab/>
        <w:t>Treating Agreement: Section 8 and Exhibit B</w:t>
      </w:r>
    </w:p>
    <w:p>
      <w:pPr>
        <w:pStyle w:val="Header"/>
        <w:tabs>
          <w:tab w:val="clear" w:pos="4680"/>
          <w:tab w:val="clear" w:pos="9360"/>
        </w:tabs>
        <w:ind w:hanging="3600" w:start="3600" w:end="0"/>
        <w:rPr/>
      </w:pPr>
      <w:r>
        <w:rPr/>
        <w:t>Treater</w:t>
      </w:r>
    </w:p>
    <w:p>
      <w:pPr>
        <w:pStyle w:val="Header"/>
        <w:tabs>
          <w:tab w:val="clear" w:pos="4680"/>
          <w:tab w:val="clear" w:pos="9360"/>
        </w:tabs>
        <w:ind w:hanging="3600" w:start="3600" w:end="0"/>
        <w:rPr/>
      </w:pPr>
      <w:r>
        <w:rPr/>
      </w:r>
    </w:p>
    <w:p>
      <w:pPr>
        <w:pStyle w:val="Header"/>
        <w:tabs>
          <w:tab w:val="clear" w:pos="4680"/>
          <w:tab w:val="clear" w:pos="9360"/>
        </w:tabs>
        <w:ind w:hanging="3600" w:start="3600" w:end="0"/>
        <w:rPr/>
      </w:pPr>
      <w:r>
        <w:rPr/>
        <w:t>South-Tex Treaters Inc.</w:t>
        <w:tab/>
        <w:t xml:space="preserve">Thompsonville Treating Agreement: Section 8 and </w:t>
      </w:r>
    </w:p>
    <w:p>
      <w:pPr>
        <w:pStyle w:val="Header"/>
        <w:tabs>
          <w:tab w:val="clear" w:pos="4680"/>
          <w:tab w:val="clear" w:pos="9360"/>
        </w:tabs>
        <w:ind w:start="3600" w:end="0"/>
        <w:rPr/>
      </w:pPr>
      <w:r>
        <w:rPr/>
        <w:t>Exhibit C</w:t>
      </w:r>
      <w:r>
        <w:br w:type="page"/>
      </w:r>
    </w:p>
    <w:p>
      <w:pPr>
        <w:pStyle w:val="Normal"/>
        <w:jc w:val="center"/>
        <w:rPr/>
      </w:pPr>
      <w:r>
        <w:rPr/>
        <w:t>PURCHASE AND SALE AGREEMENT</w:t>
      </w:r>
    </w:p>
    <w:p>
      <w:pPr>
        <w:pStyle w:val="Normal"/>
        <w:jc w:val="center"/>
        <w:rPr/>
      </w:pPr>
      <w:r>
        <w:rPr/>
      </w:r>
    </w:p>
    <w:p>
      <w:pPr>
        <w:pStyle w:val="Normal"/>
        <w:jc w:val="center"/>
        <w:rPr/>
      </w:pPr>
      <w:r>
        <w:rPr/>
        <w:t>Schedule 4.17</w:t>
      </w:r>
    </w:p>
    <w:p>
      <w:pPr>
        <w:pStyle w:val="Normal"/>
        <w:jc w:val="center"/>
        <w:rPr/>
      </w:pPr>
      <w:r>
        <w:rPr/>
        <w:t>Intellectual Property</w:t>
      </w:r>
      <w:r>
        <w:br w:type="page"/>
      </w:r>
    </w:p>
    <w:p>
      <w:pPr>
        <w:pStyle w:val="Normal"/>
        <w:jc w:val="center"/>
        <w:rPr/>
      </w:pPr>
      <w:r>
        <w:rPr/>
        <w:t>PURCHASE AND SALE AGREEMENT</w:t>
      </w:r>
    </w:p>
    <w:p>
      <w:pPr>
        <w:pStyle w:val="Normal"/>
        <w:jc w:val="center"/>
        <w:rPr/>
      </w:pPr>
      <w:r>
        <w:rPr/>
      </w:r>
    </w:p>
    <w:p>
      <w:pPr>
        <w:pStyle w:val="Normal"/>
        <w:jc w:val="center"/>
        <w:rPr/>
      </w:pPr>
      <w:r>
        <w:rPr/>
        <w:t>Schedule 4.18</w:t>
      </w:r>
    </w:p>
    <w:p>
      <w:pPr>
        <w:pStyle w:val="Normal"/>
        <w:jc w:val="center"/>
        <w:rPr/>
      </w:pPr>
      <w:r>
        <w:rPr/>
        <w:t>Guaranties</w:t>
      </w:r>
      <w:r>
        <w:br w:type="page"/>
      </w:r>
    </w:p>
    <w:p>
      <w:pPr>
        <w:pStyle w:val="Normal"/>
        <w:jc w:val="center"/>
        <w:rPr/>
      </w:pPr>
      <w:r>
        <w:rPr/>
        <w:t>PURCHASE AND SALE AGREEMENT</w:t>
      </w:r>
    </w:p>
    <w:p>
      <w:pPr>
        <w:pStyle w:val="Normal"/>
        <w:jc w:val="center"/>
        <w:rPr/>
      </w:pPr>
      <w:r>
        <w:rPr/>
      </w:r>
    </w:p>
    <w:p>
      <w:pPr>
        <w:pStyle w:val="Normal"/>
        <w:jc w:val="center"/>
        <w:rPr/>
      </w:pPr>
      <w:r>
        <w:rPr/>
        <w:t>Schedule 4.19</w:t>
      </w:r>
    </w:p>
    <w:p>
      <w:pPr>
        <w:pStyle w:val="Normal"/>
        <w:jc w:val="center"/>
        <w:rPr/>
      </w:pPr>
      <w:r>
        <w:rPr/>
        <w:t>Related Party Transactions</w:t>
      </w:r>
    </w:p>
    <w:p>
      <w:pPr>
        <w:pStyle w:val="Normal"/>
        <w:jc w:val="center"/>
        <w:rPr/>
      </w:pPr>
      <w:r>
        <w:rPr/>
      </w:r>
    </w:p>
    <w:p>
      <w:pPr>
        <w:pStyle w:val="Normal"/>
        <w:jc w:val="center"/>
        <w:rPr/>
      </w:pPr>
      <w:r>
        <w:rPr/>
      </w:r>
    </w:p>
    <w:p>
      <w:pPr>
        <w:pStyle w:val="Header"/>
        <w:tabs>
          <w:tab w:val="clear" w:pos="4680"/>
          <w:tab w:val="clear" w:pos="9360"/>
        </w:tabs>
        <w:ind w:start="3600" w:end="0"/>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4.20</w:t>
      </w:r>
    </w:p>
    <w:p>
      <w:pPr>
        <w:pStyle w:val="Normal"/>
        <w:jc w:val="center"/>
        <w:rPr/>
      </w:pPr>
      <w:r>
        <w:rPr/>
        <w:t>Bank Accounts</w:t>
      </w:r>
    </w:p>
    <w:p>
      <w:pPr>
        <w:pStyle w:val="Normal"/>
        <w:jc w:val="center"/>
        <w:rPr/>
      </w:pPr>
      <w:r>
        <w:rPr/>
      </w:r>
    </w:p>
    <w:p>
      <w:pPr>
        <w:pStyle w:val="Normal"/>
        <w:jc w:val="center"/>
        <w:rPr/>
      </w:pPr>
      <w:r>
        <w:rPr/>
      </w:r>
    </w:p>
    <w:tbl>
      <w:tblPr>
        <w:tblW w:w="4914" w:type="dxa"/>
        <w:jc w:val="start"/>
        <w:tblInd w:w="0" w:type="dxa"/>
        <w:tblLayout w:type="fixed"/>
        <w:tblCellMar>
          <w:top w:w="0" w:type="dxa"/>
          <w:start w:w="54" w:type="dxa"/>
          <w:bottom w:w="0" w:type="dxa"/>
          <w:end w:w="54" w:type="dxa"/>
        </w:tblCellMar>
      </w:tblPr>
      <w:tblGrid>
        <w:gridCol w:w="3924"/>
        <w:gridCol w:w="990"/>
      </w:tblGrid>
      <w:tr>
        <w:trPr/>
        <w:tc>
          <w:tcPr>
            <w:tcW w:w="3924" w:type="dxa"/>
            <w:tcBorders/>
          </w:tcPr>
          <w:p>
            <w:pPr>
              <w:pStyle w:val="Normal"/>
              <w:widowControl w:val="false"/>
              <w:autoSpaceDE w:val="false"/>
              <w:rPr>
                <w:u w:val="single"/>
              </w:rPr>
            </w:pPr>
            <w:r>
              <w:rPr>
                <w:u w:val="single"/>
              </w:rPr>
              <w:t>HOUSTON PIPE LINE COMPANY</w:t>
            </w:r>
          </w:p>
        </w:tc>
        <w:tc>
          <w:tcPr>
            <w:tcW w:w="990" w:type="dxa"/>
            <w:tcBorders/>
            <w:tcMar>
              <w:start w:w="0" w:type="dxa"/>
              <w:end w:w="0" w:type="dxa"/>
            </w:tcMar>
          </w:tcPr>
          <w:p>
            <w:pPr>
              <w:pStyle w:val="Normal"/>
              <w:snapToGrid w:val="false"/>
              <w:rPr>
                <w:u w:val="single"/>
              </w:rPr>
            </w:pPr>
            <w:r>
              <w:rPr>
                <w:u w:val="single"/>
              </w:rPr>
            </w:r>
          </w:p>
        </w:tc>
      </w:tr>
      <w:tr>
        <w:trPr/>
        <w:tc>
          <w:tcPr>
            <w:tcW w:w="4914" w:type="dxa"/>
            <w:gridSpan w:val="2"/>
            <w:tcBorders/>
          </w:tcPr>
          <w:p>
            <w:pPr>
              <w:pStyle w:val="Normal"/>
              <w:widowControl w:val="false"/>
              <w:autoSpaceDE w:val="false"/>
              <w:rPr/>
            </w:pPr>
            <w:r>
              <w:rPr/>
              <w:t>BANK ACCOUNTS</w:t>
            </w:r>
          </w:p>
        </w:tc>
      </w:tr>
      <w:tr>
        <w:trPr/>
        <w:tc>
          <w:tcPr>
            <w:tcW w:w="4914" w:type="dxa"/>
            <w:gridSpan w:val="2"/>
            <w:tcBorders/>
          </w:tcPr>
          <w:p>
            <w:pPr>
              <w:pStyle w:val="Normal"/>
              <w:widowControl w:val="false"/>
              <w:autoSpaceDE w:val="false"/>
              <w:snapToGrid w:val="false"/>
              <w:jc w:val="both"/>
              <w:rPr/>
            </w:pPr>
            <w:r>
              <w:rPr/>
            </w:r>
          </w:p>
        </w:tc>
      </w:tr>
      <w:tr>
        <w:trPr/>
        <w:tc>
          <w:tcPr>
            <w:tcW w:w="4914" w:type="dxa"/>
            <w:gridSpan w:val="2"/>
            <w:tcBorders/>
          </w:tcPr>
          <w:p>
            <w:pPr>
              <w:pStyle w:val="Normal"/>
              <w:widowControl w:val="false"/>
              <w:autoSpaceDE w:val="false"/>
              <w:snapToGrid w:val="false"/>
              <w:jc w:val="both"/>
              <w:rPr/>
            </w:pPr>
            <w:r>
              <w:rPr/>
            </w:r>
          </w:p>
        </w:tc>
      </w:tr>
      <w:tr>
        <w:trPr/>
        <w:tc>
          <w:tcPr>
            <w:tcW w:w="4914" w:type="dxa"/>
            <w:gridSpan w:val="2"/>
            <w:tcBorders/>
          </w:tcPr>
          <w:p>
            <w:pPr>
              <w:pStyle w:val="Normal"/>
              <w:widowControl w:val="false"/>
              <w:autoSpaceDE w:val="false"/>
              <w:rPr/>
            </w:pPr>
            <w:r>
              <w:rPr/>
              <w:t>Bank of America</w:t>
            </w:r>
          </w:p>
        </w:tc>
      </w:tr>
      <w:tr>
        <w:trPr/>
        <w:tc>
          <w:tcPr>
            <w:tcW w:w="4914" w:type="dxa"/>
            <w:gridSpan w:val="2"/>
            <w:tcBorders/>
          </w:tcPr>
          <w:p>
            <w:pPr>
              <w:pStyle w:val="Normal"/>
              <w:widowControl w:val="false"/>
              <w:autoSpaceDE w:val="false"/>
              <w:rPr/>
            </w:pPr>
            <w:r>
              <w:rPr/>
              <w:t>Account 3750494141</w:t>
            </w:r>
          </w:p>
        </w:tc>
      </w:tr>
      <w:tr>
        <w:trPr/>
        <w:tc>
          <w:tcPr>
            <w:tcW w:w="4914" w:type="dxa"/>
            <w:gridSpan w:val="2"/>
            <w:tcBorders/>
          </w:tcPr>
          <w:p>
            <w:pPr>
              <w:pStyle w:val="Normal"/>
              <w:widowControl w:val="false"/>
              <w:autoSpaceDE w:val="false"/>
              <w:snapToGrid w:val="false"/>
              <w:jc w:val="both"/>
              <w:rPr/>
            </w:pPr>
            <w:r>
              <w:rPr/>
            </w:r>
          </w:p>
        </w:tc>
      </w:tr>
      <w:tr>
        <w:trPr/>
        <w:tc>
          <w:tcPr>
            <w:tcW w:w="4914" w:type="dxa"/>
            <w:gridSpan w:val="2"/>
            <w:tcBorders/>
          </w:tcPr>
          <w:p>
            <w:pPr>
              <w:pStyle w:val="Normal"/>
              <w:widowControl w:val="false"/>
              <w:autoSpaceDE w:val="false"/>
              <w:snapToGrid w:val="false"/>
              <w:jc w:val="both"/>
              <w:rPr/>
            </w:pPr>
            <w:r>
              <w:rPr/>
            </w:r>
          </w:p>
        </w:tc>
      </w:tr>
      <w:tr>
        <w:trPr/>
        <w:tc>
          <w:tcPr>
            <w:tcW w:w="4914" w:type="dxa"/>
            <w:gridSpan w:val="2"/>
            <w:tcBorders/>
          </w:tcPr>
          <w:p>
            <w:pPr>
              <w:pStyle w:val="Normal"/>
              <w:widowControl w:val="false"/>
              <w:autoSpaceDE w:val="false"/>
              <w:rPr/>
            </w:pPr>
            <w:r>
              <w:rPr/>
              <w:t>To be closed once all checks have cleared</w:t>
            </w:r>
          </w:p>
        </w:tc>
      </w:tr>
      <w:tr>
        <w:trPr/>
        <w:tc>
          <w:tcPr>
            <w:tcW w:w="4914" w:type="dxa"/>
            <w:gridSpan w:val="2"/>
            <w:tcBorders/>
          </w:tcPr>
          <w:p>
            <w:pPr>
              <w:pStyle w:val="Normal"/>
              <w:widowControl w:val="false"/>
              <w:autoSpaceDE w:val="false"/>
              <w:rPr/>
            </w:pPr>
            <w:r>
              <w:rPr/>
              <w:t>Citibank Delaware</w:t>
            </w:r>
          </w:p>
        </w:tc>
      </w:tr>
      <w:tr>
        <w:trPr/>
        <w:tc>
          <w:tcPr>
            <w:tcW w:w="4914" w:type="dxa"/>
            <w:gridSpan w:val="2"/>
            <w:tcBorders/>
          </w:tcPr>
          <w:p>
            <w:pPr>
              <w:pStyle w:val="Normal"/>
              <w:widowControl w:val="false"/>
              <w:autoSpaceDE w:val="false"/>
              <w:rPr/>
            </w:pPr>
            <w:r>
              <w:rPr/>
              <w:t>Account 3911-0194</w:t>
            </w:r>
          </w:p>
        </w:tc>
      </w:tr>
      <w:tr>
        <w:trPr/>
        <w:tc>
          <w:tcPr>
            <w:tcW w:w="4914" w:type="dxa"/>
            <w:gridSpan w:val="2"/>
            <w:tcBorders/>
          </w:tcPr>
          <w:p>
            <w:pPr>
              <w:pStyle w:val="Normal"/>
              <w:widowControl w:val="false"/>
              <w:autoSpaceDE w:val="false"/>
              <w:snapToGrid w:val="false"/>
              <w:jc w:val="both"/>
              <w:rPr/>
            </w:pPr>
            <w:r>
              <w:rPr/>
            </w:r>
          </w:p>
        </w:tc>
      </w:tr>
      <w:tr>
        <w:trPr/>
        <w:tc>
          <w:tcPr>
            <w:tcW w:w="4914" w:type="dxa"/>
            <w:gridSpan w:val="2"/>
            <w:tcBorders/>
          </w:tcPr>
          <w:p>
            <w:pPr>
              <w:pStyle w:val="Normal"/>
              <w:widowControl w:val="false"/>
              <w:autoSpaceDE w:val="false"/>
              <w:rPr/>
            </w:pPr>
            <w:r>
              <w:rPr/>
              <w:t>Citibank Delaware</w:t>
            </w:r>
          </w:p>
        </w:tc>
      </w:tr>
      <w:tr>
        <w:trPr/>
        <w:tc>
          <w:tcPr>
            <w:tcW w:w="4914" w:type="dxa"/>
            <w:gridSpan w:val="2"/>
            <w:tcBorders/>
          </w:tcPr>
          <w:p>
            <w:pPr>
              <w:pStyle w:val="Normal"/>
              <w:widowControl w:val="false"/>
              <w:autoSpaceDE w:val="false"/>
              <w:rPr/>
            </w:pPr>
            <w:r>
              <w:rPr/>
              <w:t>Account 3911-0207</w:t>
            </w:r>
          </w:p>
        </w:tc>
      </w:tr>
      <w:tr>
        <w:trPr/>
        <w:tc>
          <w:tcPr>
            <w:tcW w:w="4914" w:type="dxa"/>
            <w:gridSpan w:val="2"/>
            <w:tcBorders/>
          </w:tcPr>
          <w:p>
            <w:pPr>
              <w:pStyle w:val="Normal"/>
              <w:widowControl w:val="false"/>
              <w:autoSpaceDE w:val="false"/>
              <w:snapToGrid w:val="false"/>
              <w:jc w:val="both"/>
              <w:rPr/>
            </w:pPr>
            <w:r>
              <w:rPr/>
            </w:r>
          </w:p>
        </w:tc>
      </w:tr>
      <w:tr>
        <w:trPr/>
        <w:tc>
          <w:tcPr>
            <w:tcW w:w="4914" w:type="dxa"/>
            <w:gridSpan w:val="2"/>
            <w:tcBorders/>
          </w:tcPr>
          <w:p>
            <w:pPr>
              <w:pStyle w:val="Normal"/>
              <w:widowControl w:val="false"/>
              <w:autoSpaceDE w:val="false"/>
              <w:snapToGrid w:val="false"/>
              <w:jc w:val="both"/>
              <w:rPr/>
            </w:pPr>
            <w:r>
              <w:rPr/>
            </w:r>
          </w:p>
        </w:tc>
      </w:tr>
      <w:tr>
        <w:trPr/>
        <w:tc>
          <w:tcPr>
            <w:tcW w:w="4914" w:type="dxa"/>
            <w:gridSpan w:val="2"/>
            <w:tcBorders/>
          </w:tcPr>
          <w:p>
            <w:pPr>
              <w:pStyle w:val="Normal"/>
              <w:widowControl w:val="false"/>
              <w:autoSpaceDE w:val="false"/>
              <w:rPr/>
            </w:pPr>
            <w:r>
              <w:rPr/>
              <w:t>ALL ZERO BALANCE ACCOUNTS</w:t>
            </w:r>
          </w:p>
        </w:tc>
      </w:tr>
      <w:tr>
        <w:trPr>
          <w:trHeight w:val="210" w:hRule="atLeast"/>
        </w:trPr>
        <w:tc>
          <w:tcPr>
            <w:tcW w:w="4914" w:type="dxa"/>
            <w:gridSpan w:val="2"/>
            <w:tcBorders/>
          </w:tcPr>
          <w:p>
            <w:pPr>
              <w:pStyle w:val="Normal"/>
              <w:widowControl w:val="false"/>
              <w:autoSpaceDE w:val="false"/>
              <w:snapToGrid w:val="false"/>
              <w:jc w:val="both"/>
              <w:rPr/>
            </w:pPr>
            <w:r>
              <w:rPr/>
            </w:r>
          </w:p>
        </w:tc>
      </w:tr>
      <w:tr>
        <w:trPr/>
        <w:tc>
          <w:tcPr>
            <w:tcW w:w="4914" w:type="dxa"/>
            <w:gridSpan w:val="2"/>
            <w:tcBorders/>
          </w:tcPr>
          <w:p>
            <w:pPr>
              <w:pStyle w:val="Normal"/>
              <w:widowControl w:val="false"/>
              <w:autoSpaceDE w:val="false"/>
              <w:snapToGrid w:val="false"/>
              <w:jc w:val="both"/>
              <w:rPr/>
            </w:pPr>
            <w:r>
              <w:rPr/>
            </w:r>
          </w:p>
        </w:tc>
      </w:tr>
      <w:tr>
        <w:trPr/>
        <w:tc>
          <w:tcPr>
            <w:tcW w:w="4914" w:type="dxa"/>
            <w:gridSpan w:val="2"/>
            <w:tcBorders/>
          </w:tcPr>
          <w:p>
            <w:pPr>
              <w:pStyle w:val="Normal"/>
              <w:widowControl w:val="false"/>
              <w:autoSpaceDE w:val="false"/>
              <w:snapToGrid w:val="false"/>
              <w:jc w:val="both"/>
              <w:rPr/>
            </w:pPr>
            <w:r>
              <w:rPr/>
            </w:r>
          </w:p>
        </w:tc>
      </w:tr>
      <w:tr>
        <w:trPr/>
        <w:tc>
          <w:tcPr>
            <w:tcW w:w="4914" w:type="dxa"/>
            <w:gridSpan w:val="2"/>
            <w:tcBorders/>
          </w:tcPr>
          <w:p>
            <w:pPr>
              <w:pStyle w:val="Normal"/>
              <w:widowControl w:val="false"/>
              <w:autoSpaceDE w:val="false"/>
              <w:rPr>
                <w:u w:val="single"/>
              </w:rPr>
            </w:pPr>
            <w:r>
              <w:rPr>
                <w:u w:val="single"/>
              </w:rPr>
              <w:t>HPL RESOURCES COMPANY</w:t>
            </w:r>
          </w:p>
        </w:tc>
      </w:tr>
      <w:tr>
        <w:trPr/>
        <w:tc>
          <w:tcPr>
            <w:tcW w:w="4914" w:type="dxa"/>
            <w:gridSpan w:val="2"/>
            <w:tcBorders/>
          </w:tcPr>
          <w:p>
            <w:pPr>
              <w:pStyle w:val="Normal"/>
              <w:widowControl w:val="false"/>
              <w:autoSpaceDE w:val="false"/>
              <w:rPr/>
            </w:pPr>
            <w:r>
              <w:rPr/>
              <w:t>BANK ACCOUNTS</w:t>
            </w:r>
          </w:p>
        </w:tc>
      </w:tr>
      <w:tr>
        <w:trPr/>
        <w:tc>
          <w:tcPr>
            <w:tcW w:w="4914" w:type="dxa"/>
            <w:gridSpan w:val="2"/>
            <w:tcBorders/>
          </w:tcPr>
          <w:p>
            <w:pPr>
              <w:pStyle w:val="Normal"/>
              <w:widowControl w:val="false"/>
              <w:autoSpaceDE w:val="false"/>
              <w:snapToGrid w:val="false"/>
              <w:jc w:val="both"/>
              <w:rPr/>
            </w:pPr>
            <w:r>
              <w:rPr/>
            </w:r>
          </w:p>
        </w:tc>
      </w:tr>
      <w:tr>
        <w:trPr/>
        <w:tc>
          <w:tcPr>
            <w:tcW w:w="4914" w:type="dxa"/>
            <w:gridSpan w:val="2"/>
            <w:tcBorders/>
          </w:tcPr>
          <w:p>
            <w:pPr>
              <w:pStyle w:val="Normal"/>
              <w:widowControl w:val="false"/>
              <w:autoSpaceDE w:val="false"/>
              <w:snapToGrid w:val="false"/>
              <w:jc w:val="both"/>
              <w:rPr/>
            </w:pPr>
            <w:r>
              <w:rPr/>
            </w:r>
          </w:p>
        </w:tc>
      </w:tr>
      <w:tr>
        <w:trPr/>
        <w:tc>
          <w:tcPr>
            <w:tcW w:w="4914" w:type="dxa"/>
            <w:gridSpan w:val="2"/>
            <w:tcBorders/>
          </w:tcPr>
          <w:p>
            <w:pPr>
              <w:pStyle w:val="Normal"/>
              <w:widowControl w:val="false"/>
              <w:autoSpaceDE w:val="false"/>
              <w:rPr/>
            </w:pPr>
            <w:r>
              <w:rPr/>
              <w:t>Bank of America</w:t>
            </w:r>
          </w:p>
        </w:tc>
      </w:tr>
      <w:tr>
        <w:trPr/>
        <w:tc>
          <w:tcPr>
            <w:tcW w:w="4914" w:type="dxa"/>
            <w:gridSpan w:val="2"/>
            <w:tcBorders/>
          </w:tcPr>
          <w:p>
            <w:pPr>
              <w:pStyle w:val="Normal"/>
              <w:widowControl w:val="false"/>
              <w:autoSpaceDE w:val="false"/>
              <w:rPr/>
            </w:pPr>
            <w:r>
              <w:rPr/>
              <w:t>Account 3750494167</w:t>
            </w:r>
          </w:p>
        </w:tc>
      </w:tr>
      <w:tr>
        <w:trPr/>
        <w:tc>
          <w:tcPr>
            <w:tcW w:w="4914" w:type="dxa"/>
            <w:gridSpan w:val="2"/>
            <w:tcBorders/>
          </w:tcPr>
          <w:p>
            <w:pPr>
              <w:pStyle w:val="Normal"/>
              <w:widowControl w:val="false"/>
              <w:autoSpaceDE w:val="false"/>
              <w:snapToGrid w:val="false"/>
              <w:jc w:val="both"/>
              <w:rPr/>
            </w:pPr>
            <w:r>
              <w:rPr/>
            </w:r>
          </w:p>
        </w:tc>
      </w:tr>
      <w:tr>
        <w:trPr/>
        <w:tc>
          <w:tcPr>
            <w:tcW w:w="4914" w:type="dxa"/>
            <w:gridSpan w:val="2"/>
            <w:tcBorders/>
          </w:tcPr>
          <w:p>
            <w:pPr>
              <w:pStyle w:val="Normal"/>
              <w:widowControl w:val="false"/>
              <w:autoSpaceDE w:val="false"/>
              <w:rPr/>
            </w:pPr>
            <w:r>
              <w:rPr/>
              <w:t>Citibank Delaware</w:t>
            </w:r>
          </w:p>
        </w:tc>
      </w:tr>
      <w:tr>
        <w:trPr/>
        <w:tc>
          <w:tcPr>
            <w:tcW w:w="4914" w:type="dxa"/>
            <w:gridSpan w:val="2"/>
            <w:tcBorders/>
          </w:tcPr>
          <w:p>
            <w:pPr>
              <w:pStyle w:val="Normal"/>
              <w:widowControl w:val="false"/>
              <w:autoSpaceDE w:val="false"/>
              <w:rPr/>
            </w:pPr>
            <w:r>
              <w:rPr/>
              <w:t>Account 3911-0215</w:t>
            </w:r>
          </w:p>
        </w:tc>
      </w:tr>
    </w:tbl>
    <w:p>
      <w:pPr>
        <w:pStyle w:val="Normal"/>
        <w:widowControl w:val="false"/>
        <w:autoSpaceDE w:val="false"/>
        <w:jc w:val="both"/>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4.21</w:t>
      </w:r>
    </w:p>
    <w:p>
      <w:pPr>
        <w:pStyle w:val="Normal"/>
        <w:jc w:val="center"/>
        <w:rPr/>
      </w:pPr>
      <w:r>
        <w:rPr/>
        <w:t>Brokers</w:t>
      </w:r>
    </w:p>
    <w:p>
      <w:pPr>
        <w:pStyle w:val="Normal"/>
        <w:jc w:val="center"/>
        <w:rPr/>
      </w:pPr>
      <w:r>
        <w:rPr/>
      </w:r>
    </w:p>
    <w:p>
      <w:pPr>
        <w:pStyle w:val="Normal"/>
        <w:jc w:val="center"/>
        <w:rPr/>
      </w:pPr>
      <w:r>
        <w:rPr/>
      </w:r>
    </w:p>
    <w:p>
      <w:pPr>
        <w:pStyle w:val="Normal"/>
        <w:rPr/>
      </w:pPr>
      <w:r>
        <w:rPr/>
        <w:t>Lehman Brothers has been retained by Seller as its financial advisor on account of this Agreement.</w:t>
      </w:r>
      <w:r>
        <w:br w:type="page"/>
      </w:r>
    </w:p>
    <w:p>
      <w:pPr>
        <w:pStyle w:val="Normal"/>
        <w:jc w:val="center"/>
        <w:rPr/>
      </w:pPr>
      <w:r>
        <w:rPr/>
        <w:t>PURCHASE AND SALE AGREEMENT</w:t>
      </w:r>
    </w:p>
    <w:p>
      <w:pPr>
        <w:pStyle w:val="Normal"/>
        <w:jc w:val="center"/>
        <w:rPr/>
      </w:pPr>
      <w:r>
        <w:rPr/>
      </w:r>
    </w:p>
    <w:p>
      <w:pPr>
        <w:pStyle w:val="Normal"/>
        <w:jc w:val="center"/>
        <w:rPr/>
      </w:pPr>
      <w:r>
        <w:rPr/>
        <w:t>Schedule 6.2</w:t>
      </w:r>
    </w:p>
    <w:p>
      <w:pPr>
        <w:pStyle w:val="Normal"/>
        <w:jc w:val="center"/>
        <w:rPr/>
      </w:pPr>
      <w:r>
        <w:rPr/>
        <w:t>Pre-Closing Restrictions</w:t>
      </w:r>
    </w:p>
    <w:p>
      <w:pPr>
        <w:pStyle w:val="Normal"/>
        <w:jc w:val="center"/>
        <w:rPr/>
      </w:pPr>
      <w:r>
        <w:rPr/>
      </w:r>
    </w:p>
    <w:p>
      <w:pPr>
        <w:pStyle w:val="Normal"/>
        <w:jc w:val="both"/>
        <w:rPr/>
      </w:pPr>
      <w:r>
        <w:rPr/>
      </w:r>
    </w:p>
    <w:p>
      <w:pPr>
        <w:pStyle w:val="Normal"/>
        <w:jc w:val="both"/>
        <w:rPr/>
      </w:pPr>
      <w:r>
        <w:rPr/>
        <w:t>1.</w:t>
        <w:tab/>
        <w:t>The Companies may transfer all Excluded Assets and Retained Liabilities to Seller or an affiliate of Seller.</w:t>
      </w:r>
    </w:p>
    <w:p>
      <w:pPr>
        <w:pStyle w:val="Normal"/>
        <w:jc w:val="both"/>
        <w:rPr/>
      </w:pPr>
      <w:r>
        <w:rPr/>
      </w:r>
    </w:p>
    <w:p>
      <w:pPr>
        <w:pStyle w:val="Normal"/>
        <w:jc w:val="both"/>
        <w:rPr/>
      </w:pPr>
      <w:r>
        <w:rPr/>
        <w:t>2.</w:t>
        <w:tab/>
        <w:t>The Lease dated November 10, 1999 between Houston Pipe Line Company as Lessee (“HPL”) and HPL Asset Holdings L.P. as Lessor will be assigned to a newly formed subsidiary (“Leasco”) of Seller, and HPL and Leasco will enter into the Sublease in the form attached to this Agreement as Exhibit 3.2(e).</w:t>
      </w:r>
    </w:p>
    <w:p>
      <w:pPr>
        <w:pStyle w:val="Normal"/>
        <w:jc w:val="both"/>
        <w:rPr/>
      </w:pPr>
      <w:r>
        <w:rPr/>
      </w:r>
    </w:p>
    <w:p>
      <w:pPr>
        <w:pStyle w:val="Normal"/>
        <w:jc w:val="both"/>
        <w:rPr/>
      </w:pPr>
      <w:r>
        <w:rPr/>
        <w:t>3.</w:t>
        <w:tab/>
        <w:t>HPL will terminate the existing Measurement and Associated Services Agreement between HPL and Meter Acquisition Company LP, LLLP (“MAC”) and enter into a new Measurement and Associated Services Agreement between HPL and Hanover Measurement Services Company L.P. (“HMS”) on substantially the same terms and conditions as the original agreement.</w:t>
      </w:r>
    </w:p>
    <w:p>
      <w:pPr>
        <w:pStyle w:val="Normal"/>
        <w:jc w:val="both"/>
        <w:rPr/>
      </w:pPr>
      <w:r>
        <w:rPr/>
      </w:r>
    </w:p>
    <w:p>
      <w:pPr>
        <w:pStyle w:val="Normal"/>
        <w:jc w:val="both"/>
        <w:rPr/>
      </w:pPr>
      <w:r>
        <w:rPr/>
        <w:t>4.</w:t>
        <w:tab/>
        <w:t>[Description of other transactions HPL may enter into in order to unwind or transfer assets related to certain monetizations. – TO COME]</w:t>
      </w:r>
      <w:r>
        <w:br w:type="page"/>
      </w:r>
    </w:p>
    <w:p>
      <w:pPr>
        <w:pStyle w:val="Normal"/>
        <w:jc w:val="center"/>
        <w:rPr/>
      </w:pPr>
      <w:r>
        <w:rPr/>
        <w:t>PURCHASE AND SALE AGREEMENT</w:t>
      </w:r>
    </w:p>
    <w:p>
      <w:pPr>
        <w:pStyle w:val="Normal"/>
        <w:jc w:val="center"/>
        <w:rPr/>
      </w:pPr>
      <w:r>
        <w:rPr/>
      </w:r>
    </w:p>
    <w:p>
      <w:pPr>
        <w:pStyle w:val="Normal"/>
        <w:jc w:val="center"/>
        <w:rPr/>
      </w:pPr>
      <w:r>
        <w:rPr/>
        <w:t>Schedule 7.8</w:t>
      </w:r>
    </w:p>
    <w:p>
      <w:pPr>
        <w:pStyle w:val="Normal"/>
        <w:jc w:val="center"/>
        <w:rPr/>
      </w:pPr>
      <w:r>
        <w:rPr/>
        <w:t>Excluded Assets</w:t>
      </w:r>
    </w:p>
    <w:p>
      <w:pPr>
        <w:pStyle w:val="Normal"/>
        <w:jc w:val="center"/>
        <w:rPr/>
      </w:pPr>
      <w:r>
        <w:rPr/>
      </w:r>
    </w:p>
    <w:p>
      <w:pPr>
        <w:pStyle w:val="Normal"/>
        <w:rPr/>
      </w:pPr>
      <w:r>
        <w:rPr/>
      </w:r>
    </w:p>
    <w:p>
      <w:pPr>
        <w:pStyle w:val="Normal"/>
        <w:numPr>
          <w:ilvl w:val="0"/>
          <w:numId w:val="9"/>
        </w:numPr>
        <w:jc w:val="both"/>
        <w:rPr/>
      </w:pPr>
      <w:r>
        <w:rPr/>
        <w:t>The following equity interests in the following entities:</w:t>
      </w:r>
    </w:p>
    <w:p>
      <w:pPr>
        <w:pStyle w:val="Normal"/>
        <w:jc w:val="both"/>
        <w:rPr/>
      </w:pPr>
      <w:r>
        <w:rPr/>
      </w:r>
    </w:p>
    <w:p>
      <w:pPr>
        <w:pStyle w:val="Normal"/>
        <w:numPr>
          <w:ilvl w:val="0"/>
          <w:numId w:val="6"/>
        </w:numPr>
        <w:jc w:val="both"/>
        <w:rPr/>
      </w:pPr>
      <w:r>
        <w:rPr>
          <w:u w:val="single"/>
        </w:rPr>
        <w:t>Citrus Corp</w:t>
      </w:r>
      <w:r>
        <w:rPr/>
        <w:t xml:space="preserve">. (50%) -- Class B Common Stock (500 shares) </w:t>
      </w:r>
    </w:p>
    <w:p>
      <w:pPr>
        <w:pStyle w:val="Normal"/>
        <w:ind w:start="1440" w:end="0"/>
        <w:jc w:val="both"/>
        <w:rPr/>
      </w:pPr>
      <w:r>
        <w:rPr/>
        <w:t>[Subsidiaries (direct and indirect):  Citrus Energy Services, Inc., Citrus Trading Corp., Citrus Marketing, Inc., Florida Gas Transmission Company, Border Gas, Inc.]</w:t>
      </w:r>
    </w:p>
    <w:p>
      <w:pPr>
        <w:pStyle w:val="Normal"/>
        <w:ind w:firstLine="360" w:start="1080" w:end="0"/>
        <w:jc w:val="both"/>
        <w:rPr/>
      </w:pPr>
      <w:r>
        <w:rPr/>
      </w:r>
    </w:p>
    <w:p>
      <w:pPr>
        <w:pStyle w:val="Normal"/>
        <w:numPr>
          <w:ilvl w:val="0"/>
          <w:numId w:val="6"/>
        </w:numPr>
        <w:jc w:val="both"/>
        <w:rPr/>
      </w:pPr>
      <w:r>
        <w:rPr>
          <w:u w:val="single"/>
        </w:rPr>
        <w:t>Coal Properties Corporation</w:t>
      </w:r>
      <w:r>
        <w:rPr/>
        <w:t xml:space="preserve"> (100%) -- Common Stock (1,000 shares)</w:t>
      </w:r>
    </w:p>
    <w:p>
      <w:pPr>
        <w:pStyle w:val="Normal"/>
        <w:jc w:val="both"/>
        <w:rPr/>
      </w:pPr>
      <w:r>
        <w:rPr/>
      </w:r>
    </w:p>
    <w:p>
      <w:pPr>
        <w:pStyle w:val="Normal"/>
        <w:numPr>
          <w:ilvl w:val="0"/>
          <w:numId w:val="6"/>
        </w:numPr>
        <w:jc w:val="both"/>
        <w:rPr/>
      </w:pPr>
      <w:r>
        <w:rPr>
          <w:u w:val="single"/>
        </w:rPr>
        <w:t>Enron Engineering &amp; Construction Company</w:t>
      </w:r>
      <w:r>
        <w:rPr/>
        <w:t xml:space="preserve"> (100%) – Common Stock (1,000 Shares)</w:t>
      </w:r>
    </w:p>
    <w:p>
      <w:pPr>
        <w:pStyle w:val="Normal"/>
        <w:ind w:start="1440" w:end="0"/>
        <w:jc w:val="both"/>
        <w:rPr/>
      </w:pPr>
      <w:r>
        <w:rPr/>
        <w:t>[Subsidiaries (direct and indirect) :</w:t>
        <w:tab/>
        <w:t>Enron Advisory Services, Inc., Enron Consolidated Construction Company, National Energy Production Corporation,  Nepco Services International, Inc., Thai Nepco., Ltd., Operational Energy Corp., OEC Holding Ltd., Enron Gaza Operations Ltd., OEC Nigeria Limited, Pakistan Construction Servicess, Inc.]</w:t>
      </w:r>
    </w:p>
    <w:p>
      <w:pPr>
        <w:pStyle w:val="Normal"/>
        <w:jc w:val="both"/>
        <w:rPr/>
      </w:pPr>
      <w:r>
        <w:rPr/>
        <w:tab/>
      </w:r>
    </w:p>
    <w:p>
      <w:pPr>
        <w:pStyle w:val="Normal"/>
        <w:numPr>
          <w:ilvl w:val="0"/>
          <w:numId w:val="10"/>
        </w:numPr>
        <w:jc w:val="both"/>
        <w:rPr/>
      </w:pPr>
      <w:r>
        <w:rPr>
          <w:u w:val="single"/>
        </w:rPr>
        <w:t>Enron Industrial Natural Gas Company</w:t>
      </w:r>
      <w:r>
        <w:rPr/>
        <w:t xml:space="preserve"> (100%) – Common Stock (1,000 shares) </w:t>
      </w:r>
    </w:p>
    <w:p>
      <w:pPr>
        <w:pStyle w:val="Normal"/>
        <w:ind w:start="360" w:end="0"/>
        <w:jc w:val="both"/>
        <w:rPr/>
      </w:pPr>
      <w:r>
        <w:rPr/>
      </w:r>
    </w:p>
    <w:p>
      <w:pPr>
        <w:pStyle w:val="Normal"/>
        <w:numPr>
          <w:ilvl w:val="0"/>
          <w:numId w:val="10"/>
        </w:numPr>
        <w:jc w:val="both"/>
        <w:rPr/>
      </w:pPr>
      <w:r>
        <w:rPr>
          <w:u w:val="single"/>
        </w:rPr>
        <w:t>Enron Texoma Gas Company</w:t>
      </w:r>
      <w:r>
        <w:rPr/>
        <w:t xml:space="preserve"> (100%) – Common Stock (1,000 shares)</w:t>
      </w:r>
    </w:p>
    <w:p>
      <w:pPr>
        <w:pStyle w:val="Normal"/>
        <w:jc w:val="both"/>
        <w:rPr/>
      </w:pPr>
      <w:r>
        <w:rPr/>
      </w:r>
    </w:p>
    <w:p>
      <w:pPr>
        <w:pStyle w:val="Normal"/>
        <w:numPr>
          <w:ilvl w:val="0"/>
          <w:numId w:val="10"/>
        </w:numPr>
        <w:jc w:val="both"/>
        <w:rPr/>
      </w:pPr>
      <w:r>
        <w:rPr>
          <w:u w:val="single"/>
        </w:rPr>
        <w:t>HPL Compression Company L.P.</w:t>
      </w:r>
      <w:r>
        <w:rPr/>
        <w:t xml:space="preserve"> (0.001%) – General Partner Interest</w:t>
      </w:r>
    </w:p>
    <w:p>
      <w:pPr>
        <w:pStyle w:val="Normal"/>
        <w:jc w:val="both"/>
        <w:rPr/>
      </w:pPr>
      <w:r>
        <w:rPr/>
      </w:r>
    </w:p>
    <w:p>
      <w:pPr>
        <w:pStyle w:val="Normal"/>
        <w:numPr>
          <w:ilvl w:val="0"/>
          <w:numId w:val="10"/>
        </w:numPr>
        <w:jc w:val="both"/>
        <w:rPr/>
      </w:pPr>
      <w:r>
        <w:rPr>
          <w:u w:val="single"/>
        </w:rPr>
        <w:t>Hanover Measurement Services Company L.P.</w:t>
      </w:r>
      <w:r>
        <w:rPr/>
        <w:t xml:space="preserve"> (47.500%) – Limited Partner Interest</w:t>
      </w:r>
    </w:p>
    <w:p>
      <w:pPr>
        <w:pStyle w:val="Normal"/>
        <w:jc w:val="both"/>
        <w:rPr/>
      </w:pPr>
      <w:r>
        <w:rPr/>
      </w:r>
    </w:p>
    <w:p>
      <w:pPr>
        <w:pStyle w:val="Normal"/>
        <w:numPr>
          <w:ilvl w:val="0"/>
          <w:numId w:val="10"/>
        </w:numPr>
        <w:jc w:val="both"/>
        <w:rPr/>
      </w:pPr>
      <w:r>
        <w:rPr>
          <w:u w:val="single"/>
        </w:rPr>
        <w:t>Houston Pipe Line Marketing Company</w:t>
      </w:r>
      <w:r>
        <w:rPr/>
        <w:t xml:space="preserve"> (100%) – Common Stock (1,000 shares)</w:t>
      </w:r>
    </w:p>
    <w:p>
      <w:pPr>
        <w:pStyle w:val="Normal"/>
        <w:jc w:val="both"/>
        <w:rPr/>
      </w:pPr>
      <w:r>
        <w:rPr/>
      </w:r>
    </w:p>
    <w:p>
      <w:pPr>
        <w:pStyle w:val="Normal"/>
        <w:numPr>
          <w:ilvl w:val="0"/>
          <w:numId w:val="10"/>
        </w:numPr>
        <w:jc w:val="both"/>
        <w:rPr/>
      </w:pPr>
      <w:r>
        <w:rPr>
          <w:u w:val="single"/>
        </w:rPr>
        <w:t>Intratex Gas Company</w:t>
      </w:r>
      <w:r>
        <w:rPr/>
        <w:t xml:space="preserve"> (100%) – Common Stock (1,000 shares)</w:t>
      </w:r>
    </w:p>
    <w:p>
      <w:pPr>
        <w:pStyle w:val="Normal"/>
        <w:jc w:val="both"/>
        <w:rPr/>
      </w:pPr>
      <w:r>
        <w:rPr/>
      </w:r>
    </w:p>
    <w:p>
      <w:pPr>
        <w:pStyle w:val="Normal"/>
        <w:numPr>
          <w:ilvl w:val="0"/>
          <w:numId w:val="10"/>
        </w:numPr>
        <w:jc w:val="both"/>
        <w:rPr/>
      </w:pPr>
      <w:r>
        <w:rPr>
          <w:u w:val="single"/>
        </w:rPr>
        <w:t>Kingfisher LLC</w:t>
      </w:r>
      <w:r>
        <w:rPr/>
        <w:t xml:space="preserve"> (100%) – Membership Interest</w:t>
      </w:r>
    </w:p>
    <w:p>
      <w:pPr>
        <w:pStyle w:val="Normal"/>
        <w:jc w:val="both"/>
        <w:rPr/>
      </w:pPr>
      <w:r>
        <w:rPr/>
      </w:r>
    </w:p>
    <w:p>
      <w:pPr>
        <w:pStyle w:val="Normal"/>
        <w:numPr>
          <w:ilvl w:val="0"/>
          <w:numId w:val="10"/>
        </w:numPr>
        <w:jc w:val="both"/>
        <w:rPr/>
      </w:pPr>
      <w:r>
        <w:rPr>
          <w:u w:val="single"/>
        </w:rPr>
        <w:t>Little Looper LLC</w:t>
      </w:r>
      <w:r>
        <w:rPr/>
        <w:t xml:space="preserve"> (100%) – Membership Interest</w:t>
      </w:r>
    </w:p>
    <w:p>
      <w:pPr>
        <w:pStyle w:val="Normal"/>
        <w:jc w:val="both"/>
        <w:rPr/>
      </w:pPr>
      <w:r>
        <w:rPr/>
      </w:r>
    </w:p>
    <w:p>
      <w:pPr>
        <w:pStyle w:val="Normal"/>
        <w:numPr>
          <w:ilvl w:val="0"/>
          <w:numId w:val="10"/>
        </w:numPr>
        <w:jc w:val="both"/>
        <w:rPr/>
      </w:pPr>
      <w:r>
        <w:rPr>
          <w:u w:val="single"/>
        </w:rPr>
        <w:t>Little Piper LLC</w:t>
      </w:r>
      <w:r>
        <w:rPr/>
        <w:t xml:space="preserve"> (100%) – MembershipInterest [Note: May be dissolved prior to Closing Date]</w:t>
      </w:r>
    </w:p>
    <w:p>
      <w:pPr>
        <w:pStyle w:val="Normal"/>
        <w:jc w:val="both"/>
        <w:rPr/>
      </w:pPr>
      <w:r>
        <w:rPr/>
      </w:r>
    </w:p>
    <w:p>
      <w:pPr>
        <w:pStyle w:val="Normal"/>
        <w:numPr>
          <w:ilvl w:val="0"/>
          <w:numId w:val="10"/>
        </w:numPr>
        <w:jc w:val="both"/>
        <w:rPr/>
      </w:pPr>
      <w:r>
        <w:rPr>
          <w:u w:val="single"/>
        </w:rPr>
        <w:t>Main Piper L.P.</w:t>
      </w:r>
      <w:r>
        <w:rPr/>
        <w:t xml:space="preserve"> (.001%) – General Partner Interest [Note: May be dissolved prior to Closing Date]</w:t>
      </w:r>
    </w:p>
    <w:p>
      <w:pPr>
        <w:pStyle w:val="Normal"/>
        <w:jc w:val="both"/>
        <w:rPr/>
      </w:pPr>
      <w:r>
        <w:rPr/>
      </w:r>
    </w:p>
    <w:p>
      <w:pPr>
        <w:pStyle w:val="Normal"/>
        <w:numPr>
          <w:ilvl w:val="0"/>
          <w:numId w:val="10"/>
        </w:numPr>
        <w:jc w:val="both"/>
        <w:rPr/>
      </w:pPr>
      <w:r>
        <w:rPr>
          <w:u w:val="single"/>
        </w:rPr>
        <w:t>Meter Acquisition Company L.P.</w:t>
      </w:r>
      <w:r>
        <w:rPr/>
        <w:t xml:space="preserve"> (80%) – General and Limited Partner Interest [Note:  Will be dissolved prior to Closing Date instead of transferred to Seller or an affiliate of Seller]</w:t>
      </w:r>
    </w:p>
    <w:p>
      <w:pPr>
        <w:pStyle w:val="Normal"/>
        <w:jc w:val="both"/>
        <w:rPr/>
      </w:pPr>
      <w:r>
        <w:rPr/>
      </w:r>
    </w:p>
    <w:p>
      <w:pPr>
        <w:pStyle w:val="Normal"/>
        <w:numPr>
          <w:ilvl w:val="0"/>
          <w:numId w:val="10"/>
        </w:numPr>
        <w:jc w:val="both"/>
        <w:rPr/>
      </w:pPr>
      <w:r>
        <w:rPr>
          <w:u w:val="single"/>
        </w:rPr>
        <w:t>Middle Looper LLC</w:t>
      </w:r>
      <w:r>
        <w:rPr/>
        <w:t xml:space="preserve"> (100%) – Membership Interest [Note: May be dissolved prior to Closing Date]</w:t>
      </w:r>
    </w:p>
    <w:p>
      <w:pPr>
        <w:pStyle w:val="Normal"/>
        <w:jc w:val="both"/>
        <w:rPr/>
      </w:pPr>
      <w:r>
        <w:rPr/>
      </w:r>
    </w:p>
    <w:p>
      <w:pPr>
        <w:pStyle w:val="Normal"/>
        <w:numPr>
          <w:ilvl w:val="0"/>
          <w:numId w:val="10"/>
        </w:numPr>
        <w:jc w:val="both"/>
        <w:rPr/>
      </w:pPr>
      <w:r>
        <w:rPr>
          <w:u w:val="single"/>
        </w:rPr>
        <w:t>Middle Piper LLC</w:t>
      </w:r>
      <w:r>
        <w:rPr/>
        <w:t xml:space="preserve"> (100%) – Membership Interest </w:t>
      </w:r>
    </w:p>
    <w:p>
      <w:pPr>
        <w:pStyle w:val="Normal"/>
        <w:jc w:val="both"/>
        <w:rPr/>
      </w:pPr>
      <w:r>
        <w:rPr/>
      </w:r>
    </w:p>
    <w:p>
      <w:pPr>
        <w:pStyle w:val="Normal"/>
        <w:numPr>
          <w:ilvl w:val="0"/>
          <w:numId w:val="10"/>
        </w:numPr>
        <w:jc w:val="both"/>
        <w:rPr/>
      </w:pPr>
      <w:r>
        <w:rPr>
          <w:u w:val="single"/>
        </w:rPr>
        <w:t>Panhandle Gas Company</w:t>
      </w:r>
      <w:r>
        <w:rPr/>
        <w:t xml:space="preserve"> (100%) – Common Stock (1,000 shares)</w:t>
      </w:r>
    </w:p>
    <w:p>
      <w:pPr>
        <w:pStyle w:val="Normal"/>
        <w:jc w:val="both"/>
        <w:rPr/>
      </w:pPr>
      <w:r>
        <w:rPr/>
      </w:r>
    </w:p>
    <w:p>
      <w:pPr>
        <w:pStyle w:val="Normal"/>
        <w:numPr>
          <w:ilvl w:val="0"/>
          <w:numId w:val="10"/>
        </w:numPr>
        <w:jc w:val="both"/>
        <w:rPr/>
      </w:pPr>
      <w:r>
        <w:rPr>
          <w:u w:val="single"/>
        </w:rPr>
        <w:t>San Marco Pipe Line Company</w:t>
      </w:r>
      <w:r>
        <w:rPr/>
        <w:t xml:space="preserve"> (50%) – Common Stock (1,000 shares)</w:t>
      </w:r>
    </w:p>
    <w:p>
      <w:pPr>
        <w:pStyle w:val="Normal"/>
        <w:jc w:val="both"/>
        <w:rPr/>
      </w:pPr>
      <w:r>
        <w:rPr/>
      </w:r>
    </w:p>
    <w:p>
      <w:pPr>
        <w:pStyle w:val="Normal"/>
        <w:numPr>
          <w:ilvl w:val="0"/>
          <w:numId w:val="10"/>
        </w:numPr>
        <w:jc w:val="both"/>
        <w:rPr/>
      </w:pPr>
      <w:r>
        <w:rPr>
          <w:u w:val="single"/>
        </w:rPr>
        <w:t>Transgulf Pipe Line Company</w:t>
      </w:r>
      <w:r>
        <w:rPr/>
        <w:t xml:space="preserve"> (100%) – Common Stock (1,000 shares)</w:t>
      </w:r>
    </w:p>
    <w:p>
      <w:pPr>
        <w:pStyle w:val="Normal"/>
        <w:jc w:val="both"/>
        <w:rPr/>
      </w:pPr>
      <w:r>
        <w:rPr/>
      </w:r>
    </w:p>
    <w:p>
      <w:pPr>
        <w:pStyle w:val="Normal"/>
        <w:jc w:val="both"/>
        <w:rPr/>
      </w:pPr>
      <w:r>
        <w:rPr/>
      </w:r>
    </w:p>
    <w:p>
      <w:pPr>
        <w:pStyle w:val="Normal"/>
        <w:numPr>
          <w:ilvl w:val="0"/>
          <w:numId w:val="9"/>
        </w:numPr>
        <w:jc w:val="both"/>
        <w:rPr/>
      </w:pPr>
      <w:r>
        <w:rPr/>
        <w:t>Other excluded assets:</w:t>
      </w:r>
    </w:p>
    <w:p>
      <w:pPr>
        <w:pStyle w:val="Normal"/>
        <w:jc w:val="both"/>
        <w:rPr/>
      </w:pPr>
      <w:r>
        <w:rPr/>
      </w:r>
    </w:p>
    <w:p>
      <w:pPr>
        <w:pStyle w:val="BodyTextIndent"/>
        <w:numPr>
          <w:ilvl w:val="1"/>
          <w:numId w:val="9"/>
        </w:numPr>
        <w:tabs>
          <w:tab w:val="clear" w:pos="720"/>
        </w:tabs>
        <w:ind w:hanging="360" w:start="1080" w:end="0"/>
        <w:rPr/>
      </w:pPr>
      <w:r>
        <w:rPr/>
        <w:t>Lease Agreement dated as of November 10, 1999 between Houston Pipe Line Company and HPL Asset Holdings LP (the “Lease”).</w:t>
      </w:r>
    </w:p>
    <w:p>
      <w:pPr>
        <w:pStyle w:val="BodyTextIndent"/>
        <w:ind w:hanging="360" w:start="1080" w:end="0"/>
        <w:rPr/>
      </w:pPr>
      <w:r>
        <w:rPr/>
      </w:r>
    </w:p>
    <w:p>
      <w:pPr>
        <w:pStyle w:val="BodyTextIndent"/>
        <w:numPr>
          <w:ilvl w:val="1"/>
          <w:numId w:val="9"/>
        </w:numPr>
        <w:tabs>
          <w:tab w:val="clear" w:pos="720"/>
        </w:tabs>
        <w:ind w:hanging="360" w:start="1080" w:end="0"/>
        <w:rPr/>
      </w:pPr>
      <w:r>
        <w:rPr/>
        <w:t>Meters associated with the assets covered by the Lease.</w:t>
      </w:r>
    </w:p>
    <w:p>
      <w:pPr>
        <w:pStyle w:val="BodyTextIndent"/>
        <w:ind w:hanging="360" w:start="1080" w:end="0"/>
        <w:rPr/>
      </w:pPr>
      <w:r>
        <w:rPr/>
      </w:r>
    </w:p>
    <w:p>
      <w:pPr>
        <w:pStyle w:val="BodyTextIndent"/>
        <w:numPr>
          <w:ilvl w:val="1"/>
          <w:numId w:val="9"/>
        </w:numPr>
        <w:tabs>
          <w:tab w:val="clear" w:pos="720"/>
        </w:tabs>
        <w:ind w:hanging="360" w:start="1080" w:end="0"/>
        <w:rPr/>
      </w:pPr>
      <w:r>
        <w:rPr/>
        <w:t>[Other agreements behind Right to Use Agreements – TO COME]</w:t>
      </w:r>
    </w:p>
    <w:p>
      <w:pPr>
        <w:pStyle w:val="BodyTextIndent"/>
        <w:rPr/>
      </w:pPr>
      <w:r>
        <w:rPr/>
      </w:r>
    </w:p>
    <w:p>
      <w:pPr>
        <w:pStyle w:val="Normal"/>
        <w:numPr>
          <w:ilvl w:val="0"/>
          <w:numId w:val="2"/>
        </w:numPr>
        <w:tabs>
          <w:tab w:val="clear" w:pos="720"/>
          <w:tab w:val="left" w:pos="1080" w:leader="none"/>
        </w:tabs>
        <w:ind w:hanging="360" w:start="1080" w:end="0"/>
        <w:jc w:val="both"/>
        <w:rPr/>
      </w:pPr>
      <w:r>
        <w:rPr/>
        <w:t>[Other agreements– TO COME]</w:t>
      </w:r>
    </w:p>
    <w:p>
      <w:pPr>
        <w:pStyle w:val="Normal"/>
        <w:ind w:start="360" w:end="0"/>
        <w:jc w:val="both"/>
        <w:rPr/>
      </w:pPr>
      <w:r>
        <w:rPr/>
      </w:r>
    </w:p>
    <w:p>
      <w:pPr>
        <w:pStyle w:val="Normal"/>
        <w:ind w:start="360" w:end="0"/>
        <w:jc w:val="both"/>
        <w:rPr/>
      </w:pPr>
      <w:r>
        <w:rPr/>
      </w:r>
    </w:p>
    <w:p>
      <w:pPr>
        <w:pStyle w:val="Header"/>
        <w:tabs>
          <w:tab w:val="clear" w:pos="4680"/>
          <w:tab w:val="clear" w:pos="9360"/>
        </w:tabs>
        <w:rPr/>
      </w:pPr>
      <w:r>
        <w:rPr/>
      </w:r>
    </w:p>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MS Sans Serif">
    <w:charset w:val="00" w:characterSet="windows-1252"/>
    <w:family w:val="swiss"/>
    <w:pitch w:val="variable"/>
  </w:font>
  <w:font w:name="CG Times 12pt">
    <w:altName w:val="Times New Roman"/>
    <w:charset w:val="00" w:characterSet="windows-1252"/>
    <w:family w:val="roman"/>
    <w:pitch w:val="default"/>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Houston:362488.1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Houston:362488.1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Houston:362488.1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Houston:362488.1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Houston:362488.1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DRAFT</w:t>
    </w:r>
  </w:p>
  <w:p>
    <w:pPr>
      <w:pStyle w:val="Header"/>
      <w:jc w:val="end"/>
      <w:rPr>
        <w:sz w:val="20"/>
      </w:rPr>
    </w:pP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DRAFT</w:t>
    </w:r>
  </w:p>
  <w:p>
    <w:pPr>
      <w:pStyle w:val="Header"/>
      <w:jc w:val="end"/>
      <w:rPr>
        <w:sz w:val="20"/>
      </w:rPr>
    </w:pP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DRAFT</w:t>
    </w:r>
  </w:p>
  <w:p>
    <w:pPr>
      <w:pStyle w:val="Header"/>
      <w:jc w:val="end"/>
      <w:rPr>
        <w:sz w:val="20"/>
      </w:rPr>
    </w:pP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DRAFT</w:t>
    </w:r>
  </w:p>
  <w:p>
    <w:pPr>
      <w:pStyle w:val="Header"/>
      <w:jc w:val="end"/>
      <w:rPr>
        <w:sz w:val="20"/>
      </w:rPr>
    </w:pP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DRAFT</w:t>
    </w:r>
  </w:p>
  <w:p>
    <w:pPr>
      <w:pStyle w:val="Header"/>
      <w:jc w:val="end"/>
      <w:rPr>
        <w:sz w:val="20"/>
      </w:rPr>
    </w:pP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1080"/>
        </w:tabs>
        <w:ind w:start="1080" w:hanging="720"/>
      </w:pPr>
      <w:rPr/>
    </w:lvl>
  </w:abstractNum>
  <w:abstractNum w:abstractNumId="4">
    <w:lvl w:ilvl="0">
      <w:start w:val="3"/>
      <w:numFmt w:val="decimal"/>
      <w:lvlText w:val="%1."/>
      <w:lvlJc w:val="start"/>
      <w:pPr>
        <w:tabs>
          <w:tab w:val="num" w:pos="720"/>
        </w:tabs>
        <w:ind w:start="720" w:hanging="720"/>
      </w:pPr>
      <w:rPr/>
    </w:lvl>
  </w:abstractNum>
  <w:abstractNum w:abstractNumId="5">
    <w:lvl w:ilvl="0">
      <w:start w:val="1"/>
      <w:numFmt w:val="decimal"/>
      <w:lvlText w:val="%1."/>
      <w:lvlJc w:val="start"/>
      <w:pPr>
        <w:tabs>
          <w:tab w:val="num" w:pos="7200"/>
        </w:tabs>
        <w:ind w:start="7200" w:hanging="360"/>
      </w:p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start w:val="1"/>
      <w:numFmt w:val="decimal"/>
      <w:lvlText w:val="%1."/>
      <w:lvlJc w:val="start"/>
      <w:pPr>
        <w:tabs>
          <w:tab w:val="num" w:pos="1080"/>
        </w:tabs>
        <w:ind w:start="1080" w:hanging="720"/>
      </w:pPr>
      <w:rPr/>
    </w:lvl>
  </w:abstractNum>
  <w:abstractNum w:abstractNumId="8">
    <w:lvl w:ilvl="0">
      <w:start w:val="4"/>
      <w:numFmt w:val="decimal"/>
      <w:lvlText w:val="%1."/>
      <w:lvlJc w:val="start"/>
      <w:pPr>
        <w:tabs>
          <w:tab w:val="num" w:pos="720"/>
        </w:tabs>
        <w:ind w:start="720" w:hanging="360"/>
      </w:pPr>
      <w:rPr/>
    </w:lvl>
  </w:abstractNum>
  <w:abstractNum w:abstractNumId="9">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0">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val="false"/>
      <w:numPr>
        <w:ilvl w:val="0"/>
        <w:numId w:val="1"/>
      </w:numPr>
      <w:autoSpaceDE w:val="false"/>
      <w:jc w:val="center"/>
      <w:outlineLvl w:val="0"/>
    </w:pPr>
    <w:rPr>
      <w:b/>
      <w:bCs/>
      <w:sz w:val="36"/>
      <w:szCs w:val="36"/>
    </w:rPr>
  </w:style>
  <w:style w:type="paragraph" w:styleId="Heading2">
    <w:name w:val="heading 2"/>
    <w:basedOn w:val="Normal"/>
    <w:next w:val="Normal"/>
    <w:qFormat/>
    <w:pPr>
      <w:keepNext w:val="true"/>
      <w:widowControl w:val="false"/>
      <w:numPr>
        <w:ilvl w:val="1"/>
        <w:numId w:val="1"/>
      </w:numPr>
      <w:autoSpaceDE w:val="false"/>
      <w:outlineLvl w:val="1"/>
    </w:pPr>
    <w:rPr>
      <w:b/>
      <w:bCs/>
    </w:rPr>
  </w:style>
  <w:style w:type="paragraph" w:styleId="Heading3">
    <w:name w:val="heading 3"/>
    <w:basedOn w:val="Normal"/>
    <w:next w:val="Normal"/>
    <w:qFormat/>
    <w:pPr>
      <w:keepNext w:val="true"/>
      <w:numPr>
        <w:ilvl w:val="2"/>
        <w:numId w:val="1"/>
      </w:numPr>
      <w:autoSpaceDE w:val="false"/>
      <w:outlineLvl w:val="2"/>
    </w:pPr>
    <w:rPr>
      <w:rFonts w:ascii="Arial" w:hAnsi="Arial" w:cs="Arial"/>
      <w:b/>
      <w:bCs/>
      <w:color w:val="000000"/>
      <w:sz w:val="36"/>
      <w:szCs w:val="36"/>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0z1">
    <w:name w:val="WW8Num10z1"/>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szCs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
    <w:name w:val="Body Text Indent"/>
    <w:basedOn w:val="Normal"/>
    <w:pPr>
      <w:ind w:hanging="0" w:start="360" w:end="0"/>
      <w:jc w:val="both"/>
    </w:pPr>
    <w:rPr>
      <w:color w:val="000000"/>
    </w:rPr>
  </w:style>
  <w:style w:type="paragraph" w:styleId="BodyTextIndent2">
    <w:name w:val="Body Text Indent 2"/>
    <w:basedOn w:val="Normal"/>
    <w:qFormat/>
    <w:pPr>
      <w:tabs>
        <w:tab w:val="clear" w:pos="720"/>
        <w:tab w:val="left" w:pos="1080" w:leader="none"/>
      </w:tabs>
      <w:ind w:hanging="0" w:start="360" w:end="0"/>
    </w:pPr>
    <w:rPr/>
  </w:style>
  <w:style w:type="paragraph" w:styleId="EndnoteText">
    <w:name w:val="endnote text"/>
    <w:basedOn w:val="Normal"/>
    <w:pPr/>
    <w:rPr>
      <w:rFonts w:ascii="Courier New" w:hAnsi="Courier New" w:cs="Courier New"/>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2000-10-24T18:55:00Z</dcterms:created>
  <dc:creator>Ken Fenelon</dc:creator>
  <dc:description/>
  <dc:language>en-CA</dc:language>
  <cp:lastModifiedBy>akoehle</cp:lastModifiedBy>
  <cp:lastPrinted>2000-10-23T11:01:00Z</cp:lastPrinted>
  <dcterms:modified xsi:type="dcterms:W3CDTF">2000-10-24T18:55:00Z</dcterms:modified>
  <cp:revision>2</cp:revision>
  <dc:subject/>
  <dc:title>PURCHASE AND SALE AGREEMENT</dc:title>
</cp:coreProperties>
</file>