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i/>
          <w:i/>
          <w:iCs/>
          <w:sz w:val="20"/>
          <w:u w:val="none"/>
        </w:rPr>
      </w:pPr>
      <w:r>
        <w:rPr>
          <w:i/>
          <w:iCs/>
          <w:sz w:val="20"/>
          <w:u w:val="none"/>
        </w:rPr>
        <w:t>Enron Business: The Insider – page 1 of 3</w:t>
      </w:r>
    </w:p>
    <w:p>
      <w:pPr>
        <w:pStyle w:val="Normal"/>
        <w:rPr>
          <w:i/>
          <w:i/>
          <w:iCs/>
          <w:sz w:val="20"/>
          <w:u w:val="none"/>
        </w:rPr>
      </w:pPr>
      <w:r>
        <w:rPr>
          <w:i/>
          <w:iCs/>
          <w:sz w:val="20"/>
          <w:u w:val="none"/>
        </w:rPr>
      </w:r>
    </w:p>
    <w:p>
      <w:pPr>
        <w:pStyle w:val="Heading1"/>
        <w:ind w:hanging="0" w:start="0"/>
        <w:jc w:val="center"/>
        <w:rPr/>
      </w:pPr>
      <w:r>
        <w:rPr/>
        <w:t>Bid Week</w:t>
      </w:r>
    </w:p>
    <w:p>
      <w:pPr>
        <w:pStyle w:val="Normal"/>
        <w:rPr/>
      </w:pPr>
      <w:r>
        <w:rPr/>
      </w:r>
    </w:p>
    <w:p>
      <w:pPr>
        <w:pStyle w:val="Normal"/>
        <w:rPr>
          <w:i/>
          <w:i/>
          <w:iCs/>
        </w:rPr>
      </w:pPr>
      <w:r>
        <w:rPr>
          <w:i/>
          <w:iCs/>
        </w:rPr>
        <w:t>by Carin Andre</w:t>
      </w:r>
    </w:p>
    <w:p>
      <w:pPr>
        <w:pStyle w:val="Normal"/>
        <w:rPr>
          <w:i/>
          <w:i/>
          <w:iCs/>
          <w:sz w:val="20"/>
        </w:rPr>
      </w:pPr>
      <w:r>
        <w:rPr>
          <w:i/>
          <w:iCs/>
          <w:sz w:val="20"/>
        </w:rPr>
      </w:r>
    </w:p>
    <w:p>
      <w:pPr>
        <w:pStyle w:val="Normal"/>
        <w:rPr>
          <w:i/>
          <w:i/>
          <w:iCs/>
          <w:sz w:val="20"/>
        </w:rPr>
      </w:pPr>
      <w:r>
        <w:rPr/>
        <w:t xml:space="preserve">We’ve heard the bustling.  </w:t>
      </w:r>
    </w:p>
    <w:p>
      <w:pPr>
        <w:pStyle w:val="Normal"/>
        <w:rPr/>
      </w:pPr>
      <w:r>
        <w:rPr/>
        <w:t xml:space="preserve">We’ve felt the energy.  </w:t>
      </w:r>
    </w:p>
    <w:p>
      <w:pPr>
        <w:pStyle w:val="Normal"/>
        <w:rPr/>
      </w:pPr>
      <w:r>
        <w:rPr/>
        <w:t xml:space="preserve">We’ve sensed the magnitude.  </w:t>
      </w:r>
    </w:p>
    <w:p>
      <w:pPr>
        <w:pStyle w:val="Normal"/>
        <w:rPr/>
      </w:pPr>
      <w:r>
        <w:rPr/>
      </w:r>
    </w:p>
    <w:p>
      <w:pPr>
        <w:pStyle w:val="Normal"/>
        <w:rPr/>
      </w:pPr>
      <w:r>
        <w:rPr/>
        <w:t xml:space="preserve">Bid week.  </w:t>
      </w:r>
    </w:p>
    <w:p>
      <w:pPr>
        <w:pStyle w:val="Normal"/>
        <w:rPr/>
      </w:pPr>
      <w:r>
        <w:rPr/>
      </w:r>
    </w:p>
    <w:p>
      <w:pPr>
        <w:pStyle w:val="Normal"/>
        <w:rPr/>
      </w:pPr>
      <w:r>
        <w:rPr/>
        <w:t>When the 32</w:t>
      </w:r>
      <w:r>
        <w:rPr>
          <w:vertAlign w:val="superscript"/>
        </w:rPr>
        <w:t>nd</w:t>
      </w:r>
      <w:r>
        <w:rPr/>
        <w:t xml:space="preserve"> floor of Enron Center North – and the entire gas industry – is buzzing with heightened activity.</w:t>
      </w:r>
    </w:p>
    <w:p>
      <w:pPr>
        <w:pStyle w:val="Normal"/>
        <w:rPr/>
      </w:pPr>
      <w:r>
        <w:rPr/>
      </w:r>
    </w:p>
    <w:p>
      <w:pPr>
        <w:pStyle w:val="Normal"/>
        <w:rPr/>
      </w:pPr>
      <w:r>
        <w:rPr/>
        <w:t xml:space="preserve">But many of us don’t know exactly what bid week is.  What happens?  Who participates?  Why the frenzy?  Well, I sat down with Scott Neal, Vice President of Trading at the East Gas Desk and asked him to explain the bid week experience to me and to you – </w:t>
      </w:r>
      <w:r>
        <w:rPr>
          <w:i/>
          <w:iCs/>
        </w:rPr>
        <w:t>Enron Business</w:t>
      </w:r>
      <w:r>
        <w:rPr/>
        <w:t xml:space="preserve"> readers. Who better to answer my questions than someone who has worked in the gas industry for more than </w:t>
      </w:r>
      <w:r>
        <w:rPr>
          <w:color w:val="FF0000"/>
        </w:rPr>
        <w:t>13</w:t>
      </w:r>
      <w:r>
        <w:rPr/>
        <w:t xml:space="preserve"> years?</w:t>
      </w:r>
    </w:p>
    <w:p>
      <w:pPr>
        <w:pStyle w:val="Normal"/>
        <w:rPr/>
      </w:pPr>
      <w:r>
        <w:rPr/>
      </w:r>
    </w:p>
    <w:p>
      <w:pPr>
        <w:pStyle w:val="Normal"/>
        <w:rPr/>
      </w:pPr>
      <w:r>
        <w:rPr/>
        <w:t>He explained it to me this way:  Bid week is a three to five day period during the last business week of each month, when gas trading companies balance their books for the current month, and set up their positions to meet the upcoming month’s business expectations.</w:t>
      </w:r>
    </w:p>
    <w:p>
      <w:pPr>
        <w:pStyle w:val="Normal"/>
        <w:rPr/>
      </w:pPr>
      <w:r>
        <w:rPr/>
      </w:r>
    </w:p>
    <w:p>
      <w:pPr>
        <w:pStyle w:val="Normal"/>
        <w:rPr/>
      </w:pPr>
      <w:r>
        <w:rPr/>
        <w:t>Let’s say I’m an Enron gas trader.  During bid week, I close out my transactions and balance my physical books.  By physical, I mean the gas scheduled for physical delivery rather than just a financial swap.  And at the same time, I’m forced to make a decision about what I want to do next.  Do I want to carry risk into the next month?  Do I want to carry physical positions into the month?</w:t>
      </w:r>
    </w:p>
    <w:p>
      <w:pPr>
        <w:pStyle w:val="Normal"/>
        <w:rPr/>
      </w:pPr>
      <w:r>
        <w:rPr/>
      </w:r>
    </w:p>
    <w:p>
      <w:pPr>
        <w:pStyle w:val="Normal"/>
        <w:rPr/>
      </w:pPr>
      <w:r>
        <w:rPr/>
        <w:t xml:space="preserve">So think of bid week as both wrapping up the end of the current month, as well as starting off the new month.  There tends to be more </w:t>
      </w:r>
      <w:r>
        <w:rPr>
          <w:b/>
          <w:bCs/>
        </w:rPr>
        <w:t>liquidity</w:t>
      </w:r>
      <w:r>
        <w:rPr/>
        <w:t xml:space="preserve"> during bid week, as many or most companies are squaring away or balancing their positions for the coming month </w:t>
      </w:r>
      <w:r>
        <w:rPr>
          <w:color w:val="FF0000"/>
        </w:rPr>
        <w:t xml:space="preserve">or prompt month.  </w:t>
      </w:r>
    </w:p>
    <w:p>
      <w:pPr>
        <w:pStyle w:val="Normal"/>
        <w:rPr>
          <w:color w:val="FF0000"/>
        </w:rPr>
      </w:pPr>
      <w:r>
        <w:rPr>
          <w:color w:val="FF0000"/>
        </w:rPr>
      </w:r>
    </w:p>
    <w:p>
      <w:pPr>
        <w:pStyle w:val="Normal"/>
        <w:rPr/>
      </w:pPr>
      <w:r>
        <w:rPr/>
        <w:t xml:space="preserve">Trades get closed out as </w:t>
      </w:r>
      <w:r>
        <w:rPr>
          <w:b/>
          <w:bCs/>
        </w:rPr>
        <w:t>NYMEX</w:t>
      </w:r>
      <w:r>
        <w:rPr/>
        <w:t xml:space="preserve"> </w:t>
      </w:r>
      <w:r>
        <w:rPr>
          <w:b/>
          <w:bCs/>
        </w:rPr>
        <w:t>future contracts</w:t>
      </w:r>
      <w:r>
        <w:rPr/>
        <w:t xml:space="preserve"> expire on the third business day from the end of the month – traditionally, a very busy day.  Traders use those contracts to manage risk for the upcoming month and as those contracts expire, they start to take on </w:t>
      </w:r>
      <w:r>
        <w:rPr>
          <w:b/>
          <w:bCs/>
        </w:rPr>
        <w:t>intramonth</w:t>
      </w:r>
      <w:r>
        <w:rPr/>
        <w:t xml:space="preserve"> risk.  The gas trading books are set up where one group manages the forward term risk, and another group manages the intramonth risk.  Typically, during bid week or sometime prior to bid week, a transfer of the management of that risk takes place.</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ind w:hanging="0" w:start="0"/>
        <w:rPr/>
      </w:pPr>
      <w:r>
        <w:rPr/>
        <w:t>Cont. Enron Business: The Insider – page 2 of 3</w:t>
      </w:r>
    </w:p>
    <w:p>
      <w:pPr>
        <w:pStyle w:val="Normal"/>
        <w:rPr/>
      </w:pPr>
      <w:r>
        <w:rPr/>
      </w:r>
    </w:p>
    <w:p>
      <w:pPr>
        <w:pStyle w:val="Normal"/>
        <w:rPr/>
      </w:pPr>
      <w:r>
        <w:rPr/>
        <w:t xml:space="preserve">There’s approximately 30 to 50 percent more trading activity on a bid week day, as opposed to a non-bid week day.  That’s because in addition to closing out the current month, a whole new set of activities are </w:t>
      </w:r>
      <w:r>
        <w:rPr>
          <w:color w:val="FF0000"/>
        </w:rPr>
        <w:t>catapulted into motion as  traders begin to close prompt month positions and initiate intramonth positions</w:t>
      </w:r>
      <w:r>
        <w:rPr/>
        <w:t xml:space="preserve">.  There are many more baseload or </w:t>
      </w:r>
      <w:r>
        <w:rPr>
          <w:color w:val="FF0000"/>
        </w:rPr>
        <w:t>30 day deals done</w:t>
      </w:r>
      <w:r>
        <w:rPr/>
        <w:t xml:space="preserve"> during those three to five days of bid week relative to any other day in the month.  </w:t>
      </w:r>
    </w:p>
    <w:p>
      <w:pPr>
        <w:pStyle w:val="Normal"/>
        <w:rPr/>
      </w:pPr>
      <w:r>
        <w:rPr/>
      </w:r>
    </w:p>
    <w:p>
      <w:pPr>
        <w:pStyle w:val="Normal"/>
        <w:rPr/>
      </w:pPr>
      <w:r>
        <w:rPr/>
        <w:t>Why all the baseload transactions, you ask?</w:t>
      </w:r>
    </w:p>
    <w:p>
      <w:pPr>
        <w:pStyle w:val="Normal"/>
        <w:rPr/>
      </w:pPr>
      <w:r>
        <w:rPr/>
      </w:r>
    </w:p>
    <w:p>
      <w:pPr>
        <w:pStyle w:val="Normal"/>
        <w:rPr/>
      </w:pPr>
      <w:r>
        <w:rPr/>
        <w:t xml:space="preserve">Because a vast majority of business is baseloaded, which means the volume of gas is fixed over a period of time.  Most companies conduct </w:t>
      </w:r>
      <w:r>
        <w:rPr>
          <w:color w:val="FF0000"/>
        </w:rPr>
        <w:t>their majority of their business</w:t>
      </w:r>
      <w:r>
        <w:rPr/>
        <w:t xml:space="preserve"> on a monthly basis, as opposed to buying gas every day.  </w:t>
      </w:r>
      <w:r>
        <w:rPr>
          <w:color w:val="FF0000"/>
        </w:rPr>
        <w:t>For most producers, LDC’s and end users the daily spot market is utilized to balance their needs. Bid week occurs at the end of the month as companies wait to have their best estimate of load forecasts and in the case of gas producers,  their best estimate production volumes available for sale.</w:t>
      </w:r>
      <w:r>
        <w:rPr/>
        <w:t xml:space="preserve">  Needless to say, the end of the month gets pretty hectic.  </w:t>
      </w:r>
    </w:p>
    <w:p>
      <w:pPr>
        <w:pStyle w:val="Normal"/>
        <w:rPr/>
      </w:pPr>
      <w:r>
        <w:rPr/>
      </w:r>
    </w:p>
    <w:p>
      <w:pPr>
        <w:pStyle w:val="Normal"/>
        <w:rPr/>
      </w:pPr>
      <w:r>
        <w:rPr/>
        <w:t xml:space="preserve">Historically, bid week trading occurred in the few days preceding the gas pipelines' transportation </w:t>
      </w:r>
      <w:r>
        <w:rPr>
          <w:b/>
          <w:bCs/>
        </w:rPr>
        <w:t>nomination</w:t>
      </w:r>
      <w:r>
        <w:rPr/>
        <w:t xml:space="preserve"> deadlines.  The deadlines existed so pipelines could prepare for the expected physical flow of gas on the first of the month.  These scheduling deadlines fell on various days, so companies tended to trade that business right before the deadline.  </w:t>
      </w:r>
    </w:p>
    <w:p>
      <w:pPr>
        <w:pStyle w:val="Normal"/>
        <w:rPr/>
      </w:pPr>
      <w:r>
        <w:rPr/>
      </w:r>
    </w:p>
    <w:p>
      <w:pPr>
        <w:pStyle w:val="Normal"/>
        <w:rPr/>
      </w:pPr>
      <w:r>
        <w:rPr/>
        <w:t xml:space="preserve">But today, bid week is less centered around a pipeline scheduling deadline, as it is around the NYMEX future contract expiration.  Deadlines are now the same throughout the month, and nominations have to be in place by 11:30 a.m. the day before.  </w:t>
      </w:r>
    </w:p>
    <w:p>
      <w:pPr>
        <w:pStyle w:val="Normal"/>
        <w:rPr/>
      </w:pPr>
      <w:r>
        <w:rPr/>
      </w:r>
    </w:p>
    <w:p>
      <w:pPr>
        <w:pStyle w:val="Normal"/>
        <w:rPr/>
      </w:pPr>
      <w:r>
        <w:rPr/>
        <w:t xml:space="preserve">There you have it.  Bid week explained.  </w:t>
      </w:r>
    </w:p>
    <w:p>
      <w:pPr>
        <w:pStyle w:val="Normal"/>
        <w:rPr/>
      </w:pPr>
      <w:r>
        <w:rPr/>
      </w:r>
    </w:p>
    <w:p>
      <w:pPr>
        <w:pStyle w:val="Normal"/>
        <w:rPr/>
      </w:pPr>
      <w:r>
        <w:rPr/>
      </w:r>
    </w:p>
    <w:p>
      <w:pPr>
        <w:pStyle w:val="Heading"/>
        <w:rPr/>
      </w:pPr>
      <w:r>
        <w:rPr/>
        <w:t>Definitions</w:t>
      </w:r>
    </w:p>
    <w:p>
      <w:pPr>
        <w:pStyle w:val="Normal"/>
        <w:ind w:end="2160"/>
        <w:rPr>
          <w:b/>
          <w:bCs/>
        </w:rPr>
      </w:pPr>
      <w:r>
        <w:rPr>
          <w:b/>
          <w:bCs/>
        </w:rPr>
      </w:r>
    </w:p>
    <w:p>
      <w:pPr>
        <w:pStyle w:val="Normal"/>
        <w:ind w:end="2160"/>
        <w:rPr/>
      </w:pPr>
      <w:r>
        <w:rPr>
          <w:b/>
          <w:bCs/>
        </w:rPr>
        <w:t>Baseload</w:t>
      </w:r>
      <w:r>
        <w:rPr/>
        <w:t xml:space="preserve">: A volume of gas that serves as a constant load over a period of time. </w:t>
      </w:r>
    </w:p>
    <w:p>
      <w:pPr>
        <w:pStyle w:val="Normal"/>
        <w:ind w:start="2160" w:end="2160"/>
        <w:rPr/>
      </w:pPr>
      <w:r>
        <w:rPr/>
        <w:t xml:space="preserve">  </w:t>
      </w:r>
    </w:p>
    <w:p>
      <w:pPr>
        <w:pStyle w:val="Normal"/>
        <w:ind w:end="1440"/>
        <w:rPr/>
      </w:pPr>
      <w:r>
        <w:rPr>
          <w:b/>
          <w:bCs/>
          <w:szCs w:val="20"/>
        </w:rPr>
        <w:t>Futures Contract</w:t>
      </w:r>
      <w:r>
        <w:rPr>
          <w:szCs w:val="20"/>
        </w:rPr>
        <w:t xml:space="preserve">: A legal agreement between a party that opens a position on the futures market to buy or sell natural gas and the established commodity exchange – the New York Mercantile Exchange. </w:t>
      </w:r>
    </w:p>
    <w:p>
      <w:pPr>
        <w:pStyle w:val="Normal"/>
        <w:ind w:end="1440"/>
        <w:rPr>
          <w:szCs w:val="20"/>
        </w:rPr>
      </w:pPr>
      <w:r>
        <w:rPr>
          <w:szCs w:val="20"/>
        </w:rPr>
      </w:r>
    </w:p>
    <w:p>
      <w:pPr>
        <w:pStyle w:val="Normal"/>
        <w:ind w:end="1440"/>
        <w:rPr/>
      </w:pPr>
      <w:r>
        <w:rPr>
          <w:b/>
          <w:bCs/>
        </w:rPr>
        <w:t>Intramonth</w:t>
      </w:r>
      <w:r>
        <w:rPr/>
        <w:t>: Any time period within the upcoming month.</w:t>
      </w:r>
    </w:p>
    <w:p>
      <w:pPr>
        <w:pStyle w:val="Normal"/>
        <w:ind w:end="1440"/>
        <w:rPr/>
      </w:pPr>
      <w:r>
        <w:rPr/>
      </w:r>
    </w:p>
    <w:p>
      <w:pPr>
        <w:pStyle w:val="Normal"/>
        <w:ind w:end="1440"/>
        <w:rPr/>
      </w:pPr>
      <w:r>
        <w:rPr>
          <w:color w:val="FF0000"/>
        </w:rPr>
        <w:t>LDC – Local Distribution Company, a regulated company that serves residential customers</w:t>
      </w:r>
      <w:r>
        <w:rPr/>
        <w:t>.</w:t>
      </w:r>
    </w:p>
    <w:p>
      <w:pPr>
        <w:pStyle w:val="Normal"/>
        <w:ind w:end="1440"/>
        <w:rPr/>
      </w:pPr>
      <w:r>
        <w:rPr/>
      </w:r>
    </w:p>
    <w:p>
      <w:pPr>
        <w:pStyle w:val="Normal"/>
        <w:ind w:end="1440"/>
        <w:rPr/>
      </w:pPr>
      <w:r>
        <w:rPr>
          <w:b/>
          <w:bCs/>
          <w:szCs w:val="20"/>
        </w:rPr>
        <w:t>Liquidity</w:t>
      </w:r>
      <w:r>
        <w:rPr>
          <w:szCs w:val="20"/>
        </w:rPr>
        <w:t>: Refers to the volume of trading activity in a market. The higher the liquidity, the greater the ability to execute trades with a minimal difference between bid and offer.</w:t>
      </w:r>
    </w:p>
    <w:p>
      <w:pPr>
        <w:pStyle w:val="Normal"/>
        <w:ind w:end="1440"/>
        <w:rPr/>
      </w:pPr>
      <w:r>
        <w:rPr/>
      </w:r>
    </w:p>
    <w:p>
      <w:pPr>
        <w:pStyle w:val="Normal"/>
        <w:ind w:end="1440"/>
        <w:rPr>
          <w:b/>
          <w:bCs/>
          <w:szCs w:val="20"/>
        </w:rPr>
      </w:pPr>
      <w:r>
        <w:rPr>
          <w:b/>
          <w:bCs/>
          <w:szCs w:val="20"/>
        </w:rPr>
      </w:r>
    </w:p>
    <w:p>
      <w:pPr>
        <w:pStyle w:val="Heading3"/>
        <w:rPr/>
      </w:pPr>
      <w:r>
        <w:rPr/>
        <w:t>Cont. Enron Business: The Insider – page 3 of 3</w:t>
      </w:r>
    </w:p>
    <w:p>
      <w:pPr>
        <w:pStyle w:val="Normal"/>
        <w:ind w:end="1440"/>
        <w:rPr>
          <w:b/>
          <w:bCs/>
          <w:szCs w:val="20"/>
        </w:rPr>
      </w:pPr>
      <w:r>
        <w:rPr>
          <w:b/>
          <w:bCs/>
          <w:szCs w:val="20"/>
        </w:rPr>
      </w:r>
    </w:p>
    <w:p>
      <w:pPr>
        <w:pStyle w:val="Normal"/>
        <w:ind w:end="1440"/>
        <w:rPr/>
      </w:pPr>
      <w:r>
        <w:rPr>
          <w:b/>
          <w:bCs/>
          <w:szCs w:val="20"/>
        </w:rPr>
        <w:t>New York Mercantile Exchange (NYMEX)</w:t>
      </w:r>
      <w:r>
        <w:rPr>
          <w:szCs w:val="20"/>
        </w:rPr>
        <w:t>: The U.S. futures exchange. The NYMEX offers trading for energy futures and options, including natural gas, electricity, propane, and oil.</w:t>
      </w:r>
    </w:p>
    <w:p>
      <w:pPr>
        <w:pStyle w:val="Normal"/>
        <w:ind w:end="1440"/>
        <w:rPr>
          <w:szCs w:val="20"/>
        </w:rPr>
      </w:pPr>
      <w:r>
        <w:rPr>
          <w:szCs w:val="20"/>
        </w:rPr>
      </w:r>
    </w:p>
    <w:p>
      <w:pPr>
        <w:pStyle w:val="Normal"/>
        <w:ind w:end="1440"/>
        <w:rPr/>
      </w:pPr>
      <w:r>
        <w:rPr>
          <w:b/>
          <w:bCs/>
        </w:rPr>
        <w:t>Nomination</w:t>
      </w:r>
      <w:r>
        <w:rPr>
          <w:color w:val="FF0000"/>
        </w:rPr>
        <w:t xml:space="preserve">: A shipper’s notification to a pipeline of the quantity of gas that it intends to receive and/or deliver for the next day. </w:t>
      </w:r>
    </w:p>
    <w:p>
      <w:pPr>
        <w:pStyle w:val="Normal"/>
        <w:rPr>
          <w:color w:val="FF0000"/>
          <w:szCs w:val="20"/>
        </w:rPr>
      </w:pPr>
      <w:r>
        <w:rPr>
          <w:color w:val="FF0000"/>
          <w:szCs w:val="20"/>
        </w:rPr>
      </w:r>
    </w:p>
    <w:p>
      <w:pPr>
        <w:pStyle w:val="Normal"/>
        <w:rPr/>
      </w:pPr>
      <w:r>
        <w:rPr>
          <w:b/>
          <w:bCs/>
          <w:color w:val="000000"/>
        </w:rPr>
        <w:t>Spot Gas Market</w:t>
      </w:r>
      <w:r>
        <w:rPr>
          <w:color w:val="000000"/>
        </w:rPr>
        <w:t xml:space="preserve">: An open market for natural gas characterized by short-term purchase agreements for a delivery period of one month or less. </w:t>
      </w:r>
    </w:p>
    <w:p>
      <w:pPr>
        <w:pStyle w:val="Normal"/>
        <w:rPr>
          <w:color w:val="000000"/>
        </w:rPr>
      </w:pPr>
      <w:r>
        <w:rPr>
          <w:color w:val="000000"/>
        </w:rPr>
      </w:r>
    </w:p>
    <w:p>
      <w:pPr>
        <w:pStyle w:val="Normal"/>
        <w:rPr>
          <w:color w:val="000000"/>
        </w:rPr>
      </w:pPr>
      <w:r>
        <w:rPr>
          <w:color w:val="00000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b/>
      <w:bCs/>
      <w:i/>
      <w:iCs/>
      <w:sz w:val="20"/>
    </w:rPr>
  </w:style>
  <w:style w:type="paragraph" w:styleId="Heading3">
    <w:name w:val="heading 3"/>
    <w:basedOn w:val="Normal"/>
    <w:next w:val="Normal"/>
    <w:qFormat/>
    <w:pPr>
      <w:keepNext w:val="true"/>
      <w:numPr>
        <w:ilvl w:val="2"/>
        <w:numId w:val="1"/>
      </w:numPr>
      <w:ind w:hanging="0" w:start="0" w:end="1440"/>
      <w:outlineLvl w:val="2"/>
    </w:pPr>
    <w:rPr>
      <w:b/>
      <w:bCs/>
      <w:i/>
      <w:iCs/>
      <w:sz w:val="20"/>
    </w:rPr>
  </w:style>
  <w:style w:type="character" w:styleId="DefaultParagraphFont">
    <w:name w:val="Default Paragraph Font"/>
    <w:qFormat/>
    <w:rPr/>
  </w:style>
  <w:style w:type="paragraph" w:styleId="Heading">
    <w:name w:val="Heading"/>
    <w:basedOn w:val="Normal"/>
    <w:next w:val="BodyText"/>
    <w:qFormat/>
    <w:pPr>
      <w:ind w:hanging="0" w:start="0" w:end="2160"/>
      <w:jc w:val="center"/>
    </w:pPr>
    <w:rPr>
      <w:b/>
      <w:bCs/>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2001-10-04T14:16:00Z</dcterms:created>
  <dc:creator>candre</dc:creator>
  <dc:description/>
  <dc:language>en-CA</dc:language>
  <cp:lastModifiedBy>sneal</cp:lastModifiedBy>
  <cp:lastPrinted>2001-10-04T11:44:00Z</cp:lastPrinted>
  <dcterms:modified xsi:type="dcterms:W3CDTF">2001-10-04T14:59:00Z</dcterms:modified>
  <cp:revision>5</cp:revision>
  <dc:subject/>
  <dc:title>We’ve all heard about it</dc:title>
</cp:coreProperties>
</file>