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990215" cy="537210"/>
            <wp:effectExtent l="0" t="0" r="0" b="0"/>
            <wp:docPr id="1" name="NM%20logo%20_%20b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20logo%20_%20blue" descr="" title=""/>
                    <pic:cNvPicPr>
                      <a:picLocks noChangeAspect="1" noChangeArrowheads="1"/>
                    </pic:cNvPicPr>
                  </pic:nvPicPr>
                  <pic:blipFill>
                    <a:blip r:embed="rId2"/>
                    <a:srcRect l="-5" t="-29" r="-5" b="-29"/>
                    <a:stretch>
                      <a:fillRect/>
                    </a:stretch>
                  </pic:blipFill>
                  <pic:spPr bwMode="auto">
                    <a:xfrm>
                      <a:off x="0" y="0"/>
                      <a:ext cx="2990215" cy="537210"/>
                    </a:xfrm>
                    <a:prstGeom prst="rect">
                      <a:avLst/>
                    </a:prstGeom>
                    <a:noFill/>
                  </pic:spPr>
                </pic:pic>
              </a:graphicData>
            </a:graphic>
          </wp:inline>
        </w:drawing>
      </w:r>
    </w:p>
    <w:p>
      <w:pPr>
        <w:pStyle w:val="Header"/>
        <w:tabs>
          <w:tab w:val="clear" w:pos="4320"/>
          <w:tab w:val="clear" w:pos="8640"/>
        </w:tabs>
        <w:rPr/>
      </w:pPr>
      <w:r>
        <w:rPr/>
      </w:r>
    </w:p>
    <w:tbl>
      <w:tblPr>
        <w:tblW w:w="10260" w:type="dxa"/>
        <w:jc w:val="start"/>
        <w:tblInd w:w="18" w:type="dxa"/>
        <w:tblLayout w:type="fixed"/>
        <w:tblCellMar>
          <w:top w:w="0" w:type="dxa"/>
          <w:start w:w="108" w:type="dxa"/>
          <w:bottom w:w="0" w:type="dxa"/>
          <w:end w:w="108" w:type="dxa"/>
        </w:tblCellMar>
      </w:tblPr>
      <w:tblGrid>
        <w:gridCol w:w="5310"/>
        <w:gridCol w:w="4950"/>
      </w:tblGrid>
      <w:tr>
        <w:trPr/>
        <w:tc>
          <w:tcPr>
            <w:tcW w:w="5310" w:type="dxa"/>
            <w:tcBorders/>
          </w:tcPr>
          <w:p>
            <w:pPr>
              <w:pStyle w:val="Normal"/>
              <w:rPr>
                <w:rFonts w:ascii="Arial Narrow" w:hAnsi="Arial Narrow" w:cs="Arial Narrow"/>
                <w:b/>
                <w:sz w:val="20"/>
              </w:rPr>
            </w:pPr>
            <w:r>
              <w:rPr>
                <w:rFonts w:cs="Arial Narrow" w:ascii="Arial Narrow" w:hAnsi="Arial Narrow"/>
                <w:b/>
                <w:sz w:val="20"/>
              </w:rPr>
              <w:fldChar w:fldCharType="begin"/>
            </w:r>
            <w:r>
              <w:rPr>
                <w:sz w:val="20"/>
                <w:b/>
                <w:rFonts w:cs="Arial Narrow" w:ascii="Arial Narrow" w:hAnsi="Arial Narrow"/>
              </w:rPr>
              <w:instrText xml:space="preserve"> FILLIN "Please enter your name"</w:instrText>
            </w:r>
            <w:r>
              <w:rPr>
                <w:sz w:val="20"/>
                <w:b/>
                <w:rFonts w:cs="Arial Narrow" w:ascii="Arial Narrow" w:hAnsi="Arial Narrow"/>
              </w:rPr>
              <w:fldChar w:fldCharType="separate"/>
            </w:r>
            <w:r>
              <w:rPr>
                <w:sz w:val="20"/>
                <w:b/>
                <w:rFonts w:cs="Arial Narrow" w:ascii="Arial Narrow" w:hAnsi="Arial Narrow"/>
              </w:rPr>
              <w:t>Jeffery A. Glose</w:t>
            </w:r>
            <w:r>
              <w:rPr>
                <w:sz w:val="20"/>
                <w:b/>
                <w:rFonts w:cs="Arial Narrow" w:ascii="Arial Narrow" w:hAnsi="Arial Narrow"/>
              </w:rPr>
              <w:fldChar w:fldCharType="end"/>
            </w:r>
          </w:p>
          <w:p>
            <w:pPr>
              <w:pStyle w:val="Heading7"/>
              <w:ind w:hanging="0" w:start="0"/>
              <w:rPr>
                <w:b/>
              </w:rPr>
            </w:pPr>
            <w:r>
              <w:rPr/>
              <w:fldChar w:fldCharType="begin"/>
            </w:r>
            <w:r>
              <w:rPr/>
              <w:instrText xml:space="preserve"> FILLIN "Please enter your title"</w:instrText>
            </w:r>
            <w:r>
              <w:rPr/>
              <w:fldChar w:fldCharType="separate"/>
            </w:r>
            <w:r>
              <w:rPr/>
              <w:t>Sr. Energy Contract Specialist</w:t>
            </w:r>
            <w:r>
              <w:rPr/>
              <w:fldChar w:fldCharType="end"/>
            </w:r>
          </w:p>
        </w:tc>
        <w:tc>
          <w:tcPr>
            <w:tcW w:w="4950" w:type="dxa"/>
            <w:tcBorders/>
          </w:tcPr>
          <w:p>
            <w:pPr>
              <w:pStyle w:val="Normal"/>
              <w:jc w:val="end"/>
              <w:rPr>
                <w:rFonts w:ascii="Arial Narrow" w:hAnsi="Arial Narrow" w:cs="Arial Narrow"/>
                <w:sz w:val="16"/>
              </w:rPr>
            </w:pPr>
            <w:r>
              <w:rPr>
                <w:rFonts w:cs="Arial Narrow" w:ascii="Arial Narrow" w:hAnsi="Arial Narrow"/>
                <w:sz w:val="16"/>
              </w:rPr>
              <w:t xml:space="preserve">Phone: </w:t>
            </w:r>
            <w:r>
              <w:rPr>
                <w:rFonts w:cs="Arial Narrow" w:ascii="Arial Narrow" w:hAnsi="Arial Narrow"/>
                <w:sz w:val="16"/>
              </w:rPr>
              <w:fldChar w:fldCharType="begin"/>
            </w:r>
            <w:r>
              <w:rPr>
                <w:sz w:val="16"/>
                <w:rFonts w:cs="Arial Narrow" w:ascii="Arial Narrow" w:hAnsi="Arial Narrow"/>
              </w:rPr>
              <w:instrText xml:space="preserve"> FILLIN "Please enter your phone number"</w:instrText>
            </w:r>
            <w:r>
              <w:rPr>
                <w:sz w:val="16"/>
                <w:rFonts w:cs="Arial Narrow" w:ascii="Arial Narrow" w:hAnsi="Arial Narrow"/>
              </w:rPr>
              <w:fldChar w:fldCharType="separate"/>
            </w:r>
            <w:r>
              <w:rPr>
                <w:sz w:val="16"/>
                <w:rFonts w:cs="Arial Narrow" w:ascii="Arial Narrow" w:hAnsi="Arial Narrow"/>
              </w:rPr>
              <w:t>(315) 460-2262</w:t>
            </w:r>
            <w:r>
              <w:rPr>
                <w:sz w:val="16"/>
                <w:rFonts w:cs="Arial Narrow" w:ascii="Arial Narrow" w:hAnsi="Arial Narrow"/>
              </w:rPr>
              <w:fldChar w:fldCharType="end"/>
            </w:r>
          </w:p>
          <w:p>
            <w:pPr>
              <w:pStyle w:val="Normal"/>
              <w:jc w:val="end"/>
              <w:rPr/>
            </w:pPr>
            <w:r>
              <w:rPr>
                <w:rFonts w:cs="Arial Narrow" w:ascii="Arial Narrow" w:hAnsi="Arial Narrow"/>
                <w:sz w:val="16"/>
              </w:rPr>
              <w:t xml:space="preserve">FAX: </w:t>
            </w:r>
            <w:r>
              <w:rPr>
                <w:rFonts w:cs="Arial Narrow" w:ascii="Arial Narrow" w:hAnsi="Arial Narrow"/>
                <w:sz w:val="16"/>
              </w:rPr>
              <w:fldChar w:fldCharType="begin"/>
            </w:r>
            <w:r>
              <w:rPr>
                <w:sz w:val="16"/>
                <w:rFonts w:cs="Arial Narrow" w:ascii="Arial Narrow" w:hAnsi="Arial Narrow"/>
              </w:rPr>
              <w:instrText xml:space="preserve"> FILLIN "Please enter your FAX number"</w:instrText>
            </w:r>
            <w:r>
              <w:rPr>
                <w:sz w:val="16"/>
                <w:rFonts w:cs="Arial Narrow" w:ascii="Arial Narrow" w:hAnsi="Arial Narrow"/>
              </w:rPr>
              <w:fldChar w:fldCharType="separate"/>
            </w:r>
            <w:r>
              <w:rPr>
                <w:sz w:val="16"/>
                <w:rFonts w:cs="Arial Narrow" w:ascii="Arial Narrow" w:hAnsi="Arial Narrow"/>
              </w:rPr>
              <w:t>(315) 460-2660</w:t>
            </w:r>
            <w:r>
              <w:rPr>
                <w:sz w:val="16"/>
                <w:rFonts w:cs="Arial Narrow" w:ascii="Arial Narrow" w:hAnsi="Arial Narrow"/>
              </w:rPr>
              <w:fldChar w:fldCharType="end"/>
            </w:r>
            <w:r>
              <w:rPr>
                <w:rFonts w:cs="Arial Narrow" w:ascii="Arial Narrow" w:hAnsi="Arial Narrow"/>
                <w:sz w:val="16"/>
              </w:rPr>
              <w:t xml:space="preserve"> </w:t>
            </w:r>
          </w:p>
          <w:p>
            <w:pPr>
              <w:pStyle w:val="Normal"/>
              <w:jc w:val="end"/>
              <w:rPr>
                <w:rFonts w:ascii="Arial Narrow" w:hAnsi="Arial Narrow" w:cs="Arial Narrow"/>
                <w:sz w:val="16"/>
              </w:rPr>
            </w:pPr>
            <w:r>
              <w:rPr>
                <w:rFonts w:cs="Arial Narrow" w:ascii="Arial Narrow" w:hAnsi="Arial Narrow"/>
                <w:sz w:val="16"/>
              </w:rPr>
              <w:t xml:space="preserve">E-mail: </w:t>
            </w:r>
            <w:r>
              <w:rPr>
                <w:rFonts w:cs="Arial Narrow" w:ascii="Arial Narrow" w:hAnsi="Arial Narrow"/>
                <w:sz w:val="16"/>
              </w:rPr>
              <w:fldChar w:fldCharType="begin"/>
            </w:r>
            <w:r>
              <w:rPr>
                <w:sz w:val="16"/>
                <w:rFonts w:cs="Arial Narrow" w:ascii="Arial Narrow" w:hAnsi="Arial Narrow"/>
              </w:rPr>
              <w:instrText xml:space="preserve"> FILLIN "Please enter your E-mail address"</w:instrText>
            </w:r>
            <w:r>
              <w:rPr>
                <w:sz w:val="16"/>
                <w:rFonts w:cs="Arial Narrow" w:ascii="Arial Narrow" w:hAnsi="Arial Narrow"/>
              </w:rPr>
              <w:fldChar w:fldCharType="separate"/>
            </w:r>
            <w:r>
              <w:rPr>
                <w:sz w:val="16"/>
                <w:rFonts w:cs="Arial Narrow" w:ascii="Arial Narrow" w:hAnsi="Arial Narrow"/>
              </w:rPr>
              <w:t>glosej@NiagaraMohawk.com</w:t>
            </w:r>
            <w:r>
              <w:rPr>
                <w:sz w:val="16"/>
                <w:rFonts w:cs="Arial Narrow" w:ascii="Arial Narrow" w:hAnsi="Arial Narrow"/>
              </w:rPr>
              <w:fldChar w:fldCharType="end"/>
            </w:r>
          </w:p>
        </w:tc>
      </w:tr>
    </w:tbl>
    <w:p>
      <w:pPr>
        <w:pStyle w:val="Normal"/>
        <w:tabs>
          <w:tab w:val="clear" w:pos="720"/>
          <w:tab w:val="left" w:pos="-1080" w:leader="none"/>
        </w:tabs>
        <w:ind w:firstLine="5040" w:end="0"/>
        <w:rPr>
          <w:rFonts w:ascii="Arial" w:hAnsi="Arial" w:cs="Arial"/>
          <w:sz w:val="20"/>
        </w:rPr>
      </w:pPr>
      <w:r>
        <w:rPr>
          <w:rFonts w:cs="Arial" w:ascii="Arial" w:hAnsi="Arial"/>
          <w:sz w:val="20"/>
        </w:rPr>
      </w:r>
    </w:p>
    <w:p>
      <w:pPr>
        <w:pStyle w:val="Normal"/>
        <w:tabs>
          <w:tab w:val="clear" w:pos="720"/>
          <w:tab w:val="left" w:pos="-1080" w:leader="none"/>
        </w:tabs>
        <w:ind w:firstLine="5040" w:end="0"/>
        <w:rPr/>
      </w:pPr>
      <w:r>
        <w:rPr/>
        <w:t>August 18, 2000</w:t>
      </w:r>
    </w:p>
    <w:p>
      <w:pPr>
        <w:pStyle w:val="Normal"/>
        <w:tabs>
          <w:tab w:val="clear" w:pos="720"/>
          <w:tab w:val="left" w:pos="-1080" w:leader="none"/>
        </w:tabs>
        <w:rPr/>
      </w:pPr>
      <w:r>
        <w:rPr/>
      </w:r>
    </w:p>
    <w:p>
      <w:pPr>
        <w:pStyle w:val="Header"/>
        <w:tabs>
          <w:tab w:val="clear" w:pos="4320"/>
          <w:tab w:val="clear" w:pos="8640"/>
          <w:tab w:val="left" w:pos="-1080" w:leader="none"/>
        </w:tabs>
        <w:rPr/>
      </w:pPr>
      <w:r>
        <w:rPr/>
        <w:t>Counterparty</w:t>
      </w:r>
    </w:p>
    <w:p>
      <w:pPr>
        <w:pStyle w:val="Normal"/>
        <w:tabs>
          <w:tab w:val="clear" w:pos="720"/>
          <w:tab w:val="left" w:pos="-1080" w:leader="none"/>
        </w:tabs>
        <w:rPr/>
      </w:pPr>
      <w:r>
        <w:rPr/>
      </w:r>
    </w:p>
    <w:p>
      <w:pPr>
        <w:pStyle w:val="Normal"/>
        <w:tabs>
          <w:tab w:val="clear" w:pos="720"/>
          <w:tab w:val="left" w:pos="-1080" w:leader="none"/>
        </w:tabs>
        <w:rPr>
          <w:b/>
        </w:rPr>
      </w:pPr>
      <w:r>
        <w:rPr>
          <w:b/>
        </w:rPr>
        <w:t>RE:</w:t>
        <w:tab/>
        <w:t>Solicitation Of  Bids To Purchase Over-The-Counter Natural Gas Basis Differentials</w:t>
      </w:r>
    </w:p>
    <w:p>
      <w:pPr>
        <w:pStyle w:val="Normal"/>
        <w:tabs>
          <w:tab w:val="clear" w:pos="720"/>
          <w:tab w:val="left" w:pos="-1080" w:leader="none"/>
        </w:tabs>
        <w:rPr>
          <w:b/>
        </w:rPr>
      </w:pPr>
      <w:r>
        <w:rPr>
          <w:b/>
        </w:rPr>
      </w:r>
    </w:p>
    <w:p>
      <w:pPr>
        <w:pStyle w:val="Normal"/>
        <w:tabs>
          <w:tab w:val="clear" w:pos="720"/>
          <w:tab w:val="left" w:pos="-1080" w:leader="none"/>
        </w:tabs>
        <w:rPr/>
      </w:pPr>
      <w:r>
        <w:rPr/>
        <w:t>Dear Sir/Madam:</w:t>
      </w:r>
    </w:p>
    <w:p>
      <w:pPr>
        <w:pStyle w:val="Normal"/>
        <w:tabs>
          <w:tab w:val="clear" w:pos="720"/>
          <w:tab w:val="left" w:pos="-1080" w:leader="none"/>
        </w:tabs>
        <w:rPr/>
      </w:pPr>
      <w:r>
        <w:rPr/>
      </w:r>
    </w:p>
    <w:p>
      <w:pPr>
        <w:pStyle w:val="Normal"/>
        <w:rPr/>
      </w:pPr>
      <w:r>
        <w:rPr/>
        <w:t>On August 30, 2000, Niagara Mohawk Power Corporation (NMPC) will solicit bids to purchase over-the-counter financial basis differentials between Henry Hub (NYMEX) and various delivery points. The bid solicitation will be structured as follows:</w:t>
      </w:r>
    </w:p>
    <w:p>
      <w:pPr>
        <w:pStyle w:val="Normal"/>
        <w:rPr/>
      </w:pPr>
      <w:r>
        <w:rPr/>
      </w:r>
    </w:p>
    <w:p>
      <w:pPr>
        <w:pStyle w:val="Normal"/>
        <w:numPr>
          <w:ilvl w:val="0"/>
          <w:numId w:val="2"/>
        </w:numPr>
        <w:tabs>
          <w:tab w:val="clear" w:pos="720"/>
          <w:tab w:val="left" w:pos="-1800" w:leader="none"/>
        </w:tabs>
        <w:ind w:hanging="360" w:start="720" w:end="0"/>
        <w:rPr/>
      </w:pPr>
      <w:r>
        <w:rPr/>
        <w:t>Bids will be due via facsimile transmission or verbally (verbal bids will be received on recorded phones) by 11:00 a.m. Eastern Standard Time (EST) on August 30, 2000.  Facsimile and phone numbers will be provided at a later date.</w:t>
      </w:r>
    </w:p>
    <w:p>
      <w:pPr>
        <w:pStyle w:val="Normal"/>
        <w:tabs>
          <w:tab w:val="clear" w:pos="720"/>
          <w:tab w:val="left" w:pos="-1800" w:leader="none"/>
        </w:tabs>
        <w:ind w:hanging="360" w:start="720" w:end="0"/>
        <w:rPr/>
      </w:pPr>
      <w:r>
        <w:rPr/>
      </w:r>
    </w:p>
    <w:p>
      <w:pPr>
        <w:pStyle w:val="Normal"/>
        <w:numPr>
          <w:ilvl w:val="0"/>
          <w:numId w:val="2"/>
        </w:numPr>
        <w:tabs>
          <w:tab w:val="clear" w:pos="720"/>
          <w:tab w:val="left" w:pos="-1800" w:leader="none"/>
        </w:tabs>
        <w:ind w:hanging="360" w:start="720" w:end="0"/>
        <w:rPr/>
      </w:pPr>
      <w:r>
        <w:rPr/>
        <w:t>Bids will be awarded by 11:15 a.m. EST on August 30, 2000.</w:t>
      </w:r>
    </w:p>
    <w:p>
      <w:pPr>
        <w:pStyle w:val="Normal"/>
        <w:tabs>
          <w:tab w:val="clear" w:pos="720"/>
          <w:tab w:val="left" w:pos="-1800" w:leader="none"/>
        </w:tabs>
        <w:ind w:hanging="360" w:start="720" w:end="0"/>
        <w:rPr/>
      </w:pPr>
      <w:r>
        <w:rPr/>
      </w:r>
    </w:p>
    <w:p>
      <w:pPr>
        <w:pStyle w:val="Normal"/>
        <w:numPr>
          <w:ilvl w:val="0"/>
          <w:numId w:val="2"/>
        </w:numPr>
        <w:tabs>
          <w:tab w:val="clear" w:pos="720"/>
          <w:tab w:val="left" w:pos="-1800" w:leader="none"/>
        </w:tabs>
        <w:ind w:hanging="360" w:start="720" w:end="0"/>
        <w:rPr/>
      </w:pPr>
      <w:r>
        <w:rPr/>
        <w:t>NMPC will make verbal bid awards and then execute and deliver swap transaction confirmations utilizing the attached form.</w:t>
      </w:r>
    </w:p>
    <w:p>
      <w:pPr>
        <w:pStyle w:val="Normal"/>
        <w:tabs>
          <w:tab w:val="clear" w:pos="720"/>
          <w:tab w:val="left" w:pos="-1800" w:leader="none"/>
        </w:tabs>
        <w:ind w:hanging="360" w:start="720" w:end="0"/>
        <w:rPr>
          <w:color w:val="000000"/>
        </w:rPr>
      </w:pPr>
      <w:r>
        <w:rPr>
          <w:color w:val="000000"/>
        </w:rPr>
      </w:r>
    </w:p>
    <w:p>
      <w:pPr>
        <w:pStyle w:val="Normal"/>
        <w:numPr>
          <w:ilvl w:val="0"/>
          <w:numId w:val="2"/>
        </w:numPr>
        <w:tabs>
          <w:tab w:val="clear" w:pos="720"/>
          <w:tab w:val="left" w:pos="-1800" w:leader="none"/>
        </w:tabs>
        <w:ind w:hanging="360" w:start="720" w:end="0"/>
        <w:rPr/>
      </w:pPr>
      <w:r>
        <w:rPr>
          <w:color w:val="000000"/>
        </w:rPr>
        <w:t xml:space="preserve">A total of ten (10) bids will be solicited, one each for the period October 1, 2000 through March 31, 2001 (Winter Block) and April 1, 2001 through August 31, 2001 (Summer Block) at five </w:t>
      </w:r>
      <w:r>
        <w:rPr/>
        <w:t>different locations.  Bidders may elect to bid on any or all of the ten offerings and may be awarded any or all of the swap transactions.</w:t>
      </w:r>
    </w:p>
    <w:p>
      <w:pPr>
        <w:pStyle w:val="Normal"/>
        <w:tabs>
          <w:tab w:val="clear" w:pos="720"/>
          <w:tab w:val="left" w:pos="-1800" w:leader="none"/>
        </w:tabs>
        <w:ind w:hanging="360" w:start="720" w:end="0"/>
        <w:rPr/>
      </w:pPr>
      <w:r>
        <w:rPr/>
      </w:r>
    </w:p>
    <w:p>
      <w:pPr>
        <w:pStyle w:val="Normal"/>
        <w:numPr>
          <w:ilvl w:val="0"/>
          <w:numId w:val="2"/>
        </w:numPr>
        <w:tabs>
          <w:tab w:val="clear" w:pos="720"/>
          <w:tab w:val="left" w:pos="-1800" w:leader="none"/>
        </w:tabs>
        <w:ind w:hanging="360" w:start="720" w:end="0"/>
        <w:rPr/>
      </w:pPr>
      <w:r>
        <w:rPr/>
        <w:t xml:space="preserve">With the exception of Empress (see #6), the reference index will be the Monthly Index from the Monthly Contract Index table of the </w:t>
      </w:r>
      <w:r>
        <w:rPr>
          <w:u w:val="single"/>
        </w:rPr>
        <w:t>Gas Daily Price Guide</w:t>
      </w:r>
      <w:r>
        <w:rPr/>
        <w:t xml:space="preserve"> published for the prompt month (month of delivery).</w:t>
      </w:r>
    </w:p>
    <w:p>
      <w:pPr>
        <w:pStyle w:val="Normal"/>
        <w:rPr/>
      </w:pPr>
      <w:r>
        <w:rPr/>
      </w:r>
    </w:p>
    <w:p>
      <w:pPr>
        <w:pStyle w:val="Normal"/>
        <w:numPr>
          <w:ilvl w:val="0"/>
          <w:numId w:val="2"/>
        </w:numPr>
        <w:tabs>
          <w:tab w:val="clear" w:pos="720"/>
          <w:tab w:val="left" w:pos="-1800" w:leader="none"/>
        </w:tabs>
        <w:ind w:hanging="360" w:start="720" w:end="0"/>
        <w:rPr>
          <w:color w:val="000000"/>
        </w:rPr>
      </w:pPr>
      <w:r>
        <w:rPr/>
        <w:t>The reference index for Empress shall be the Canadian Natural Gas</w:t>
      </w:r>
      <w:r>
        <w:rPr>
          <w:color w:val="000000"/>
        </w:rPr>
        <w:t xml:space="preserve"> Supply Prices</w:t>
      </w:r>
      <w:r>
        <w:rPr/>
        <w:t xml:space="preserve"> table of the </w:t>
      </w:r>
      <w:r>
        <w:rPr>
          <w:u w:val="single"/>
        </w:rPr>
        <w:t>Canadian Gas Price Reporter</w:t>
      </w:r>
      <w:r>
        <w:rPr/>
        <w:t xml:space="preserve"> published for the prompt month (month of delivery).</w:t>
      </w:r>
    </w:p>
    <w:p>
      <w:pPr>
        <w:pStyle w:val="Normal"/>
        <w:rPr>
          <w:color w:val="000000"/>
        </w:rPr>
      </w:pPr>
      <w:r>
        <w:rPr>
          <w:color w:val="000000"/>
        </w:rPr>
      </w:r>
    </w:p>
    <w:p>
      <w:pPr>
        <w:pStyle w:val="Normal"/>
        <w:numPr>
          <w:ilvl w:val="0"/>
          <w:numId w:val="2"/>
        </w:numPr>
        <w:tabs>
          <w:tab w:val="clear" w:pos="720"/>
          <w:tab w:val="left" w:pos="-1800" w:leader="none"/>
        </w:tabs>
        <w:ind w:hanging="360" w:start="720" w:end="0"/>
        <w:rPr>
          <w:color w:val="000000"/>
        </w:rPr>
      </w:pPr>
      <w:r>
        <w:rPr>
          <w:color w:val="000000"/>
        </w:rPr>
        <w:t>Bidders may submit prices for alternative locations to those listed on the attached page as long as those locations are acceptable to NMPC.</w:t>
      </w:r>
    </w:p>
    <w:p>
      <w:pPr>
        <w:pStyle w:val="Normal"/>
        <w:rPr>
          <w:color w:val="000000"/>
        </w:rPr>
      </w:pPr>
      <w:r>
        <w:rPr>
          <w:color w:val="000000"/>
        </w:rPr>
      </w:r>
    </w:p>
    <w:p>
      <w:pPr>
        <w:pStyle w:val="Normal"/>
        <w:numPr>
          <w:ilvl w:val="0"/>
          <w:numId w:val="2"/>
        </w:numPr>
        <w:tabs>
          <w:tab w:val="clear" w:pos="720"/>
          <w:tab w:val="left" w:pos="-1800" w:leader="none"/>
        </w:tabs>
        <w:ind w:hanging="360" w:start="720" w:end="0"/>
        <w:rPr>
          <w:color w:val="000000"/>
        </w:rPr>
      </w:pPr>
      <w:r>
        <w:rPr>
          <w:color w:val="000000"/>
        </w:rPr>
        <w:t xml:space="preserve">The NYMEX settlement definition </w:t>
      </w:r>
      <w:r>
        <w:rPr/>
        <w:t xml:space="preserve">(final day settlement or average of the final three days of trading) </w:t>
      </w:r>
      <w:r>
        <w:rPr>
          <w:color w:val="000000"/>
        </w:rPr>
        <w:t>will be finalized at the time of execution.</w:t>
      </w:r>
    </w:p>
    <w:p>
      <w:pPr>
        <w:pStyle w:val="Normal"/>
        <w:tabs>
          <w:tab w:val="clear" w:pos="720"/>
          <w:tab w:val="left" w:pos="-1800" w:leader="none"/>
        </w:tabs>
        <w:ind w:hanging="360" w:start="720" w:end="0"/>
        <w:rPr>
          <w:color w:val="000000"/>
        </w:rPr>
      </w:pPr>
      <w:r>
        <w:rPr>
          <w:color w:val="000000"/>
        </w:rPr>
      </w:r>
    </w:p>
    <w:p>
      <w:pPr>
        <w:pStyle w:val="Normal"/>
        <w:numPr>
          <w:ilvl w:val="0"/>
          <w:numId w:val="2"/>
        </w:numPr>
        <w:tabs>
          <w:tab w:val="clear" w:pos="720"/>
          <w:tab w:val="left" w:pos="-1800" w:leader="none"/>
        </w:tabs>
        <w:ind w:hanging="360" w:start="720" w:end="0"/>
        <w:rPr>
          <w:color w:val="000000"/>
        </w:rPr>
      </w:pPr>
      <w:r>
        <w:rPr>
          <w:color w:val="000000"/>
        </w:rPr>
        <w:t>The monthly volumes at the specific locations are attached.</w:t>
      </w:r>
    </w:p>
    <w:p>
      <w:pPr>
        <w:pStyle w:val="Normal"/>
        <w:rPr>
          <w:color w:val="000000"/>
        </w:rPr>
      </w:pPr>
      <w:r>
        <w:rPr>
          <w:color w:val="000000"/>
        </w:rPr>
      </w:r>
    </w:p>
    <w:p>
      <w:pPr>
        <w:pStyle w:val="Normal"/>
        <w:tabs>
          <w:tab w:val="clear" w:pos="720"/>
          <w:tab w:val="left" w:pos="-1080" w:leader="none"/>
        </w:tabs>
        <w:rPr/>
      </w:pPr>
      <w:r>
        <w:rPr/>
        <w:t xml:space="preserve">Please review the form of the attached swap transaction to determine if it is acceptable in its current form. Changes to the attached swap transaction form must received no later than August 23, 2000 at 5:00 p.m. EST in order to be considered. </w:t>
      </w:r>
    </w:p>
    <w:p>
      <w:pPr>
        <w:pStyle w:val="Normal"/>
        <w:tabs>
          <w:tab w:val="clear" w:pos="720"/>
          <w:tab w:val="left" w:pos="-1080" w:leader="none"/>
        </w:tabs>
        <w:ind w:firstLine="5040" w:end="0"/>
        <w:rPr/>
      </w:pPr>
      <w:r>
        <w:rPr/>
      </w:r>
    </w:p>
    <w:p>
      <w:pPr>
        <w:pStyle w:val="Normal"/>
        <w:tabs>
          <w:tab w:val="clear" w:pos="720"/>
          <w:tab w:val="left" w:pos="-1080" w:leader="none"/>
        </w:tabs>
        <w:ind w:firstLine="5040" w:end="0"/>
        <w:rPr/>
      </w:pPr>
      <w:r>
        <w:rPr/>
        <w:t>Sincerely,</w:t>
      </w:r>
    </w:p>
    <w:p>
      <w:pPr>
        <w:pStyle w:val="Normal"/>
        <w:tabs>
          <w:tab w:val="clear" w:pos="720"/>
          <w:tab w:val="left" w:pos="-1080" w:leader="none"/>
        </w:tabs>
        <w:ind w:firstLine="5040" w:end="0"/>
        <w:rPr/>
      </w:pPr>
      <w:r>
        <w:rPr/>
      </w:r>
    </w:p>
    <w:p>
      <w:pPr>
        <w:pStyle w:val="Normal"/>
        <w:tabs>
          <w:tab w:val="clear" w:pos="720"/>
          <w:tab w:val="left" w:pos="-1080" w:leader="none"/>
        </w:tabs>
        <w:ind w:firstLine="5040" w:end="0"/>
        <w:rPr/>
      </w:pPr>
      <w:r>
        <w:rPr/>
        <w:t>Jeffery A. Glose</w:t>
      </w:r>
    </w:p>
    <w:p>
      <w:pPr>
        <w:pStyle w:val="Normal"/>
        <w:tabs>
          <w:tab w:val="clear" w:pos="720"/>
          <w:tab w:val="left" w:pos="-1080" w:leader="none"/>
        </w:tabs>
        <w:ind w:firstLine="5040" w:end="0"/>
        <w:rPr/>
      </w:pPr>
      <w:r>
        <w:rPr/>
        <w:t>Sr. Energy Contract Specialist</w:t>
      </w:r>
    </w:p>
    <w:p>
      <w:pPr>
        <w:pStyle w:val="Normal"/>
        <w:tabs>
          <w:tab w:val="clear" w:pos="720"/>
          <w:tab w:val="left" w:pos="-1080" w:leader="none"/>
        </w:tabs>
        <w:rPr/>
      </w:pPr>
      <w:r>
        <w:rPr/>
        <w:t>Attachment</w:t>
      </w:r>
      <w:r>
        <w:br w:type="page"/>
      </w:r>
    </w:p>
    <w:p>
      <w:pPr>
        <w:pStyle w:val="Heading2"/>
        <w:ind w:hanging="0" w:start="0"/>
        <w:rPr>
          <w:rFonts w:ascii="Times New Roman" w:hAnsi="Times New Roman" w:cs="Times New Roman"/>
          <w:sz w:val="20"/>
        </w:rPr>
      </w:pPr>
      <w:r>
        <w:rPr>
          <w:rFonts w:cs="Times New Roman" w:ascii="Times New Roman" w:hAnsi="Times New Roman"/>
          <w:sz w:val="24"/>
        </w:rPr>
        <w:t>Notional Quantities</w:t>
      </w:r>
    </w:p>
    <w:p>
      <w:pPr>
        <w:pStyle w:val="Normal"/>
        <w:jc w:val="center"/>
        <w:rPr>
          <w:rFonts w:ascii="Times New Roman" w:hAnsi="Times New Roman" w:cs="Times New Roman"/>
          <w:b/>
          <w:sz w:val="20"/>
        </w:rPr>
      </w:pPr>
      <w:r>
        <w:rPr>
          <w:rFonts w:cs="Times New Roman"/>
          <w:b/>
          <w:sz w:val="20"/>
        </w:rPr>
      </w:r>
    </w:p>
    <w:tbl>
      <w:tblPr>
        <w:tblW w:w="9911" w:type="dxa"/>
        <w:jc w:val="center"/>
        <w:tblInd w:w="0" w:type="dxa"/>
        <w:tblLayout w:type="fixed"/>
        <w:tblCellMar>
          <w:top w:w="0" w:type="dxa"/>
          <w:start w:w="108" w:type="dxa"/>
          <w:bottom w:w="0" w:type="dxa"/>
          <w:end w:w="108" w:type="dxa"/>
        </w:tblCellMar>
      </w:tblPr>
      <w:tblGrid>
        <w:gridCol w:w="1176"/>
        <w:gridCol w:w="1530"/>
        <w:gridCol w:w="1445"/>
        <w:gridCol w:w="1440"/>
        <w:gridCol w:w="1440"/>
        <w:gridCol w:w="1440"/>
        <w:gridCol w:w="1440"/>
      </w:tblGrid>
      <w:tr>
        <w:trPr/>
        <w:tc>
          <w:tcPr>
            <w:tcW w:w="1176" w:type="dxa"/>
            <w:tcBorders>
              <w:top w:val="single" w:sz="4" w:space="0" w:color="000000"/>
              <w:start w:val="single" w:sz="4" w:space="0" w:color="000000"/>
              <w:bottom w:val="single" w:sz="4" w:space="0" w:color="000000"/>
              <w:end w:val="single" w:sz="4" w:space="0" w:color="000000"/>
            </w:tcBorders>
            <w:vAlign w:val="bottom"/>
          </w:tcPr>
          <w:p>
            <w:pPr>
              <w:pStyle w:val="Heading9"/>
              <w:ind w:hanging="0" w:start="0"/>
              <w:rPr/>
            </w:pPr>
            <w:r>
              <w:rPr/>
              <w:t>Block</w:t>
            </w:r>
          </w:p>
        </w:tc>
        <w:tc>
          <w:tcPr>
            <w:tcW w:w="1530" w:type="dxa"/>
            <w:tcBorders>
              <w:top w:val="single" w:sz="4" w:space="0" w:color="000000"/>
              <w:start w:val="single" w:sz="4" w:space="0" w:color="000000"/>
              <w:bottom w:val="single" w:sz="4" w:space="0" w:color="000000"/>
              <w:end w:val="single" w:sz="4" w:space="0" w:color="000000"/>
            </w:tcBorders>
            <w:vAlign w:val="bottom"/>
          </w:tcPr>
          <w:p>
            <w:pPr>
              <w:pStyle w:val="Heading9"/>
              <w:ind w:hanging="0" w:start="0"/>
              <w:rPr/>
            </w:pPr>
            <w:r>
              <w:rPr/>
              <w:t>Month</w:t>
            </w:r>
          </w:p>
        </w:tc>
        <w:tc>
          <w:tcPr>
            <w:tcW w:w="144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0" w:after="58"/>
              <w:jc w:val="center"/>
              <w:rPr>
                <w:b/>
                <w:sz w:val="20"/>
              </w:rPr>
            </w:pPr>
            <w:r>
              <w:rPr>
                <w:b/>
                <w:sz w:val="20"/>
              </w:rPr>
            </w:r>
          </w:p>
          <w:p>
            <w:pPr>
              <w:pStyle w:val="Normal"/>
              <w:spacing w:before="0" w:after="58"/>
              <w:jc w:val="center"/>
              <w:rPr>
                <w:b/>
                <w:sz w:val="20"/>
              </w:rPr>
            </w:pPr>
            <w:r>
              <w:rPr>
                <w:b/>
                <w:sz w:val="20"/>
              </w:rPr>
              <w:t>Texas E., M-3</w:t>
            </w:r>
          </w:p>
          <w:p>
            <w:pPr>
              <w:pStyle w:val="Normal"/>
              <w:spacing w:before="0" w:after="58"/>
              <w:jc w:val="center"/>
              <w:rPr>
                <w:b/>
                <w:sz w:val="20"/>
              </w:rPr>
            </w:pPr>
            <w:r>
              <w:rPr>
                <w:b/>
                <w:sz w:val="20"/>
              </w:rPr>
              <w:t>(Dt)</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58"/>
              <w:jc w:val="center"/>
              <w:rPr>
                <w:b/>
                <w:sz w:val="20"/>
              </w:rPr>
            </w:pPr>
            <w:r>
              <w:rPr>
                <w:b/>
                <w:sz w:val="20"/>
              </w:rPr>
              <w:t>CNG North Point</w:t>
            </w:r>
          </w:p>
          <w:p>
            <w:pPr>
              <w:pStyle w:val="Normal"/>
              <w:spacing w:before="0" w:after="58"/>
              <w:jc w:val="center"/>
              <w:rPr>
                <w:b/>
                <w:sz w:val="20"/>
              </w:rPr>
            </w:pPr>
            <w:r>
              <w:rPr>
                <w:b/>
                <w:sz w:val="20"/>
              </w:rPr>
              <w:t>(Dt)</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58"/>
              <w:jc w:val="center"/>
              <w:rPr>
                <w:b/>
                <w:sz w:val="20"/>
              </w:rPr>
            </w:pPr>
            <w:r>
              <w:rPr>
                <w:b/>
                <w:sz w:val="20"/>
              </w:rPr>
              <w:t>Louisiana-Onshore South-ANR</w:t>
            </w:r>
          </w:p>
          <w:p>
            <w:pPr>
              <w:pStyle w:val="Normal"/>
              <w:spacing w:before="0" w:after="58"/>
              <w:jc w:val="center"/>
              <w:rPr>
                <w:b/>
                <w:sz w:val="20"/>
              </w:rPr>
            </w:pPr>
            <w:r>
              <w:rPr>
                <w:b/>
                <w:sz w:val="20"/>
              </w:rPr>
              <w:t>(Dt)</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58"/>
              <w:jc w:val="center"/>
              <w:rPr>
                <w:b/>
                <w:sz w:val="20"/>
              </w:rPr>
            </w:pPr>
            <w:r>
              <w:rPr>
                <w:b/>
                <w:sz w:val="20"/>
              </w:rPr>
              <w:t>Niagara (NFG, Tenn)</w:t>
            </w:r>
          </w:p>
          <w:p>
            <w:pPr>
              <w:pStyle w:val="Normal"/>
              <w:spacing w:before="0" w:after="58"/>
              <w:jc w:val="center"/>
              <w:rPr>
                <w:b/>
                <w:sz w:val="20"/>
              </w:rPr>
            </w:pPr>
            <w:r>
              <w:rPr>
                <w:b/>
                <w:sz w:val="20"/>
              </w:rPr>
              <w:t>(Dt)</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58"/>
              <w:jc w:val="center"/>
              <w:rPr>
                <w:b/>
                <w:sz w:val="20"/>
              </w:rPr>
            </w:pPr>
            <w:r>
              <w:rPr>
                <w:b/>
                <w:sz w:val="20"/>
              </w:rPr>
              <w:t>Empress</w:t>
            </w:r>
          </w:p>
          <w:p>
            <w:pPr>
              <w:pStyle w:val="Normal"/>
              <w:spacing w:before="0" w:after="58"/>
              <w:jc w:val="center"/>
              <w:rPr>
                <w:b/>
                <w:sz w:val="20"/>
              </w:rPr>
            </w:pPr>
            <w:r>
              <w:rPr>
                <w:b/>
                <w:sz w:val="20"/>
              </w:rPr>
              <w:t>(Dt)</w:t>
            </w:r>
          </w:p>
        </w:tc>
      </w:tr>
      <w:tr>
        <w:trPr>
          <w:trHeight w:val="360" w:hRule="exact"/>
        </w:trPr>
        <w:tc>
          <w:tcPr>
            <w:tcW w:w="1176" w:type="dxa"/>
            <w:vMerge w:val="restart"/>
            <w:tcBorders>
              <w:top w:val="single" w:sz="4" w:space="0" w:color="000000"/>
              <w:start w:val="single" w:sz="4" w:space="0" w:color="000000"/>
              <w:bottom w:val="single" w:sz="4" w:space="0" w:color="000000"/>
              <w:end w:val="single" w:sz="4" w:space="0" w:color="000000"/>
            </w:tcBorders>
            <w:vAlign w:val="center"/>
          </w:tcPr>
          <w:p>
            <w:pPr>
              <w:pStyle w:val="Heading9"/>
              <w:ind w:hanging="0" w:start="0"/>
              <w:rPr/>
            </w:pPr>
            <w:r>
              <w:rPr/>
              <w:t>Winter Block</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October 2000</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390,000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230,000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390,000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November 2000</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540,000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390,000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710,000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380,000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December 2000</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410,000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390,000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January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410,000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740,000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770,000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390,000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February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510,000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370,000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670,000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700,000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360,000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March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410,000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620,000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750,000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390,000</w:t>
            </w:r>
          </w:p>
        </w:tc>
      </w:tr>
      <w:tr>
        <w:trPr>
          <w:trHeight w:val="120" w:hRule="exact"/>
        </w:trPr>
        <w:tc>
          <w:tcPr>
            <w:tcW w:w="1176" w:type="dxa"/>
            <w:tcBorders>
              <w:top w:val="single" w:sz="4" w:space="0" w:color="000000"/>
              <w:start w:val="single" w:sz="4" w:space="0" w:color="000000"/>
              <w:bottom w:val="single" w:sz="4" w:space="0" w:color="000000"/>
              <w:end w:val="single" w:sz="4" w:space="0" w:color="000000"/>
            </w:tcBorders>
            <w:vAlign w:val="center"/>
          </w:tcPr>
          <w:p>
            <w:pPr>
              <w:pStyle w:val="Heading9"/>
              <w:snapToGrid w:val="false"/>
              <w:ind w:hanging="0" w:start="0"/>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r>
      <w:tr>
        <w:trPr>
          <w:trHeight w:val="360" w:hRule="exact"/>
        </w:trPr>
        <w:tc>
          <w:tcPr>
            <w:tcW w:w="1176" w:type="dxa"/>
            <w:vMerge w:val="restart"/>
            <w:tcBorders>
              <w:top w:val="single" w:sz="4" w:space="0" w:color="000000"/>
              <w:start w:val="single" w:sz="4" w:space="0" w:color="000000"/>
              <w:bottom w:val="single" w:sz="4" w:space="0" w:color="000000"/>
              <w:end w:val="single" w:sz="4" w:space="0" w:color="000000"/>
            </w:tcBorders>
            <w:vAlign w:val="center"/>
          </w:tcPr>
          <w:p>
            <w:pPr>
              <w:pStyle w:val="Heading9"/>
              <w:ind w:hanging="0" w:start="0"/>
              <w:rPr/>
            </w:pPr>
            <w:r>
              <w:rPr/>
              <w:t>Summer Block</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April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540,000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380,000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410,000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700,000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May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80,000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590,000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450,000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390,000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June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510,000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350,000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670,000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670,000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380,000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July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670,000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440,000</w:t>
            </w:r>
          </w:p>
        </w:tc>
      </w:tr>
      <w:tr>
        <w:trPr>
          <w:trHeight w:val="360" w:hRule="exact"/>
        </w:trPr>
        <w:tc>
          <w:tcPr>
            <w:tcW w:w="11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August 2001</w:t>
            </w:r>
          </w:p>
        </w:tc>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530,000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360,000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630,000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690,000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rPr>
            </w:pPr>
            <w:r>
              <w:rPr>
                <w:sz w:val="20"/>
              </w:rPr>
              <w:t>440,000</w:t>
            </w:r>
          </w:p>
        </w:tc>
      </w:tr>
    </w:tbl>
    <w:p>
      <w:pPr>
        <w:pStyle w:val="Normal"/>
        <w:rPr>
          <w:sz w:val="20"/>
        </w:rPr>
      </w:pPr>
      <w:r>
        <w:rPr>
          <w:sz w:val="20"/>
        </w:rPr>
      </w:r>
    </w:p>
    <w:sectPr>
      <w:footerReference w:type="default" r:id="rId3"/>
      <w:type w:val="nextPage"/>
      <w:pgSz w:w="12240" w:h="15840"/>
      <w:pgMar w:left="1080" w:right="1080" w:gutter="0" w:header="0" w:top="720" w:footer="317"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Arial Narrow" w:hAnsi="Arial Narrow" w:cs="Arial Narrow"/>
        <w:sz w:val="16"/>
      </w:rPr>
    </w:pPr>
    <w:r>
      <w:rPr>
        <w:rFonts w:cs="Arial Narrow" w:ascii="Arial Narrow" w:hAnsi="Arial Narrow"/>
        <w:sz w:val="16"/>
      </w:rPr>
      <w:t>300 Erie Boulevard West, Syracuse, New York  13202-4250 · www.niagaramohawk.com</w:t>
    </w:r>
  </w:p>
  <w:p>
    <w:pPr>
      <w:pStyle w:val="Footer"/>
      <w:rPr>
        <w:rFonts w:ascii="Arial Narrow" w:hAnsi="Arial Narrow" w:cs="Arial Narrow"/>
        <w:sz w:val="16"/>
      </w:rPr>
    </w:pPr>
    <w:r>
      <w:rPr>
        <w:rFonts w:cs="Arial Narrow" w:ascii="Arial Narrow" w:hAnsi="Arial Narrow"/>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1080" w:leader="none"/>
      </w:tabs>
      <w:jc w:val="center"/>
      <w:outlineLvl w:val="0"/>
    </w:pPr>
    <w:rPr>
      <w:rFonts w:ascii="Arial" w:hAnsi="Arial" w:cs="Arial"/>
      <w:sz w:val="36"/>
    </w:rPr>
  </w:style>
  <w:style w:type="paragraph" w:styleId="Heading2">
    <w:name w:val="heading 2"/>
    <w:basedOn w:val="Normal"/>
    <w:next w:val="Normal"/>
    <w:qFormat/>
    <w:pPr>
      <w:keepNext w:val="true"/>
      <w:numPr>
        <w:ilvl w:val="1"/>
        <w:numId w:val="1"/>
      </w:numPr>
      <w:tabs>
        <w:tab w:val="clear" w:pos="720"/>
        <w:tab w:val="left" w:pos="-1080" w:leader="none"/>
      </w:tabs>
      <w:jc w:val="center"/>
      <w:outlineLvl w:val="1"/>
    </w:pPr>
    <w:rPr>
      <w:rFonts w:ascii="Arial" w:hAnsi="Arial" w:cs="Arial"/>
      <w:b/>
      <w:sz w:val="28"/>
    </w:rPr>
  </w:style>
  <w:style w:type="paragraph" w:styleId="Heading3">
    <w:name w:val="heading 3"/>
    <w:basedOn w:val="Normal"/>
    <w:next w:val="Normal"/>
    <w:qFormat/>
    <w:pPr>
      <w:keepNext w:val="true"/>
      <w:widowControl/>
      <w:numPr>
        <w:ilvl w:val="2"/>
        <w:numId w:val="1"/>
      </w:numPr>
      <w:tabs>
        <w:tab w:val="clear" w:pos="720"/>
        <w:tab w:val="center" w:pos="4680" w:leader="none"/>
      </w:tabs>
      <w:outlineLvl w:val="2"/>
    </w:pPr>
    <w:rPr>
      <w:rFonts w:ascii="Arial" w:hAnsi="Arial" w:cs="Arial"/>
      <w:b/>
      <w:sz w:val="28"/>
      <w:lang w:eastAsia="en-CA"/>
    </w:rPr>
  </w:style>
  <w:style w:type="paragraph" w:styleId="Heading4">
    <w:name w:val="heading 4"/>
    <w:basedOn w:val="Normal"/>
    <w:next w:val="Normal"/>
    <w:qFormat/>
    <w:pPr>
      <w:keepNext w:val="true"/>
      <w:numPr>
        <w:ilvl w:val="3"/>
        <w:numId w:val="1"/>
      </w:numPr>
      <w:tabs>
        <w:tab w:val="clear" w:pos="720"/>
        <w:tab w:val="left" w:pos="-1080" w:leader="none"/>
      </w:tabs>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rFonts w:ascii="Arial" w:hAnsi="Arial" w:cs="Arial"/>
      <w:sz w:val="28"/>
    </w:rPr>
  </w:style>
  <w:style w:type="paragraph" w:styleId="Heading6">
    <w:name w:val="heading 6"/>
    <w:basedOn w:val="Normal"/>
    <w:next w:val="Normal"/>
    <w:qFormat/>
    <w:pPr>
      <w:keepNext w:val="true"/>
      <w:numPr>
        <w:ilvl w:val="5"/>
        <w:numId w:val="1"/>
      </w:numPr>
      <w:tabs>
        <w:tab w:val="clear" w:pos="720"/>
        <w:tab w:val="left" w:pos="-1080" w:leader="none"/>
      </w:tabs>
      <w:jc w:val="center"/>
      <w:outlineLvl w:val="5"/>
    </w:pPr>
    <w:rPr>
      <w:rFonts w:ascii="Arial" w:hAnsi="Arial" w:cs="Arial"/>
      <w:b/>
      <w:sz w:val="28"/>
      <w:u w:val="single"/>
    </w:rPr>
  </w:style>
  <w:style w:type="paragraph" w:styleId="Heading7">
    <w:name w:val="heading 7"/>
    <w:basedOn w:val="Normal"/>
    <w:next w:val="Normal"/>
    <w:qFormat/>
    <w:pPr>
      <w:keepNext w:val="true"/>
      <w:numPr>
        <w:ilvl w:val="6"/>
        <w:numId w:val="1"/>
      </w:numPr>
      <w:outlineLvl w:val="6"/>
    </w:pPr>
    <w:rPr>
      <w:rFonts w:ascii="Arial Narrow" w:hAnsi="Arial Narrow" w:cs="Arial Narrow"/>
      <w:i/>
      <w:sz w:val="20"/>
    </w:rPr>
  </w:style>
  <w:style w:type="paragraph" w:styleId="Heading9">
    <w:name w:val="heading 9"/>
    <w:basedOn w:val="Normal"/>
    <w:next w:val="Normal"/>
    <w:qFormat/>
    <w:pPr>
      <w:keepNext w:val="true"/>
      <w:widowControl/>
      <w:numPr>
        <w:ilvl w:val="8"/>
        <w:numId w:val="1"/>
      </w:numPr>
      <w:jc w:val="center"/>
      <w:outlineLvl w:val="8"/>
    </w:pPr>
    <w:rPr>
      <w:b/>
      <w:sz w:val="20"/>
      <w:lang w:eastAsia="en-CA"/>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80" w:leader="none"/>
      </w:tabs>
      <w:jc w:val="center"/>
    </w:pPr>
    <w:rPr>
      <w:rFonts w:ascii="Arial" w:hAnsi="Arial" w:cs="Arial"/>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2000-08-17T11:52:00Z</dcterms:created>
  <dc:creator>Wendie Paro</dc:creator>
  <dc:description/>
  <dc:language>en-CA</dc:language>
  <cp:lastModifiedBy>Jeffery A. Glose</cp:lastModifiedBy>
  <cp:lastPrinted>2000-08-17T16:11:00Z</cp:lastPrinted>
  <dcterms:modified xsi:type="dcterms:W3CDTF">2000-08-18T09:00:00Z</dcterms:modified>
  <cp:revision>15</cp:revision>
  <dc:subject/>
  <dc:title>ENCLOSED IS A TYPICAL PSC FILING PACKAGE FOR A TRADE SECRET FILING</dc:title>
</cp:coreProperties>
</file>