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
          <w:i/>
        </w:rPr>
      </w:pPr>
      <w:r>
        <w:rPr>
          <w:i/>
        </w:rPr>
      </w:r>
    </w:p>
    <w:p>
      <w:pPr>
        <w:pStyle w:val="Heading1"/>
        <w:ind w:hanging="0" w:start="0"/>
        <w:rPr>
          <w:i/>
          <w:i/>
        </w:rPr>
      </w:pPr>
      <w:r>
        <w:rPr>
          <w:i/>
        </w:rPr>
      </w:r>
    </w:p>
    <w:p>
      <w:pPr>
        <w:pStyle w:val="Heading1"/>
        <w:ind w:hanging="0" w:start="0"/>
        <w:rPr>
          <w:rFonts w:cs="Arial"/>
          <w:i/>
          <w:i/>
        </w:rPr>
      </w:pPr>
      <w:r>
        <w:rPr>
          <w:rFonts w:cs="Arial"/>
          <w:i/>
        </w:rPr>
      </w:r>
    </w:p>
    <w:p>
      <w:pPr>
        <w:pStyle w:val="Heading1"/>
        <w:ind w:hanging="0" w:start="0"/>
        <w:rPr>
          <w:rFonts w:cs="Arial"/>
          <w:i/>
          <w:i/>
        </w:rPr>
      </w:pPr>
      <w:r>
        <w:rPr>
          <w:rFonts w:cs="Arial"/>
          <w:i/>
        </w:rPr>
        <w:t>Confidential</w:t>
      </w:r>
    </w:p>
    <w:p>
      <w:pPr>
        <w:pStyle w:val="Normal"/>
        <w:rPr>
          <w:rFonts w:ascii="Arial" w:hAnsi="Arial" w:cs="Arial"/>
          <w:i/>
          <w:i/>
          <w:sz w:val="22"/>
        </w:rPr>
      </w:pPr>
      <w:r>
        <w:rPr>
          <w:rFonts w:cs="Arial" w:ascii="Arial" w:hAnsi="Arial"/>
          <w:i/>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April 13,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Name</w:t>
      </w:r>
    </w:p>
    <w:p>
      <w:pPr>
        <w:pStyle w:val="Normal"/>
        <w:rPr>
          <w:rFonts w:ascii="Arial" w:hAnsi="Arial" w:cs="Arial"/>
          <w:sz w:val="22"/>
        </w:rPr>
      </w:pPr>
      <w:r>
        <w:rPr>
          <w:rFonts w:cs="Arial" w:ascii="Arial" w:hAnsi="Arial"/>
          <w:sz w:val="22"/>
        </w:rPr>
        <w:t>Company</w:t>
      </w:r>
    </w:p>
    <w:p>
      <w:pPr>
        <w:pStyle w:val="Normal"/>
        <w:rPr>
          <w:rFonts w:ascii="Arial" w:hAnsi="Arial" w:cs="Arial"/>
          <w:sz w:val="22"/>
        </w:rPr>
      </w:pPr>
      <w:r>
        <w:rPr>
          <w:rFonts w:cs="Arial" w:ascii="Arial" w:hAnsi="Arial"/>
          <w:sz w:val="22"/>
        </w:rPr>
        <w:t>Address</w:t>
      </w:r>
    </w:p>
    <w:p>
      <w:pPr>
        <w:pStyle w:val="Normal"/>
        <w:rPr>
          <w:rFonts w:ascii="Arial" w:hAnsi="Arial" w:cs="Arial"/>
          <w:sz w:val="22"/>
        </w:rPr>
      </w:pPr>
      <w:r>
        <w:rPr>
          <w:rFonts w:cs="Arial" w:ascii="Arial" w:hAnsi="Arial"/>
          <w:sz w:val="22"/>
        </w:rPr>
        <w:t>Address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On behalf of Niagara Mohawk Power Corporation (“NMPC” or the “Company”), we are writing to inform you of the procedures for submitting bids in connection with NMPC’s Solicitation for (1) the Management of Supply Contracts and Power Supply for Standard Offer Service (“SOS”) Load, and (2) Power Supply for Market Price Service (“MPS”) Load.  This Solicitation is made pursuant to the Confidential Information Memorandum dated January 29, 2001 (“IM”), as supplemented by various notices posted to NMPC’s secure website and the Transaction Documents originally provided to you on March 21, 2001 as revised (see enclosed Revised Transaction Documents).  </w:t>
      </w:r>
    </w:p>
    <w:p>
      <w:pPr>
        <w:pStyle w:val="Normal"/>
        <w:rPr>
          <w:rFonts w:ascii="Arial" w:hAnsi="Arial" w:cs="Arial"/>
          <w:sz w:val="22"/>
        </w:rPr>
      </w:pPr>
      <w:r>
        <w:rPr>
          <w:rFonts w:cs="Arial" w:ascii="Arial" w:hAnsi="Arial"/>
          <w:sz w:val="22"/>
        </w:rPr>
      </w:r>
    </w:p>
    <w:p>
      <w:pPr>
        <w:pStyle w:val="BodyText2"/>
        <w:rPr>
          <w:rFonts w:cs="Arial"/>
        </w:rPr>
      </w:pPr>
      <w:r>
        <w:rPr>
          <w:rFonts w:cs="Arial"/>
        </w:rPr>
        <w:t xml:space="preserve">In order to provide bidders with sufficient time to develop their bid packages according to these instructions, bids are due at or before 10:00 AM (EST) on May 8, 2001.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 pre-recorded presentation describing in detail these instructions will be available to bidders to dial into at their convenience throughout the coming week.  Details regarding the timing and access information for this call will be made available Monday, April 16, 2001.</w:t>
      </w:r>
    </w:p>
    <w:p>
      <w:pPr>
        <w:pStyle w:val="Normal"/>
        <w:rPr>
          <w:rFonts w:ascii="Arial" w:hAnsi="Arial" w:cs="Arial"/>
          <w:sz w:val="22"/>
        </w:rPr>
      </w:pPr>
      <w:r>
        <w:rPr>
          <w:rFonts w:cs="Arial" w:ascii="Arial" w:hAnsi="Arial"/>
          <w:sz w:val="22"/>
        </w:rPr>
      </w:r>
    </w:p>
    <w:p>
      <w:pPr>
        <w:sectPr>
          <w:type w:val="nextPage"/>
          <w:pgSz w:w="12240" w:h="15840"/>
          <w:pgMar w:left="1728" w:right="1728" w:gutter="0" w:header="0" w:top="1440" w:footer="0" w:bottom="1440"/>
          <w:pgNumType w:fmt="decimal"/>
          <w:formProt w:val="false"/>
          <w:textDirection w:val="lrTb"/>
          <w:docGrid w:type="default" w:linePitch="360" w:charSpace="0"/>
        </w:sectPr>
        <w:pStyle w:val="BodyText2"/>
        <w:rPr>
          <w:rFonts w:cs="Arial"/>
          <w:b w:val="false"/>
          <w:bCs/>
          <w:i w:val="false"/>
          <w:i w:val="false"/>
          <w:iCs/>
        </w:rPr>
      </w:pPr>
      <w:r>
        <w:rPr>
          <w:rFonts w:cs="Arial"/>
          <w:b w:val="false"/>
          <w:bCs/>
          <w:i w:val="false"/>
          <w:iCs/>
        </w:rPr>
        <w:t xml:space="preserve">Bidders may submit a bid on either or both bid packages.  Your bid constitutes a binding bid on the terms proposed.  Because certain elements of the transaction are subject to revision as a result of regulatory considerations, the Company acknowledges that the final terms of the transaction may not be identical to the bid submitted.  Nonetheless, the submission of a bid will constitute an obligation to negotiate in good faith, based on the bid submitted, to reflect subsequent changes arising out of regulatory considerations.  Accordingly, to the extent possible, your bid submission should contain formulae or other information indicating how changes in the enumerated factors would change the bid. The elements of the transaction that may vary depending on regulatory considerations include, but are not necessarily limited to: (1) a revision to the SOS EHV Rates, and (2) migration and definition of customers under MPS versus SOS which may change between the bid solicitations and approval of this transaction with the New York Public Service Commission and affect the transaction.  The parties shall negotiate in good faith for any modifications to the agreements to accommodate any such revisions.  To the extent your bid may vary based on other considerations in addition to those identified above, you must enumerate them in your bid package.  Absent identification and detailed description of any </w:t>
      </w:r>
    </w:p>
    <w:p>
      <w:pPr>
        <w:pStyle w:val="BodyText2"/>
        <w:rPr>
          <w:rFonts w:cs="Arial"/>
          <w:b w:val="false"/>
          <w:bCs/>
          <w:i w:val="false"/>
          <w:i w:val="false"/>
          <w:iCs/>
        </w:rPr>
      </w:pPr>
      <w:r>
        <w:rPr>
          <w:rFonts w:cs="Arial"/>
          <w:b w:val="false"/>
          <w:bCs/>
          <w:i w:val="false"/>
          <w:iCs/>
        </w:rPr>
        <w:t>additional factors, your bid will be considered binding but for any changes pursuant to this paragraph.</w:t>
      </w:r>
    </w:p>
    <w:p>
      <w:pPr>
        <w:pStyle w:val="BodyText2"/>
        <w:rPr>
          <w:rFonts w:cs="Arial"/>
          <w:b w:val="false"/>
          <w:bCs/>
          <w:i w:val="false"/>
          <w:i w:val="false"/>
          <w:iCs/>
        </w:rPr>
      </w:pPr>
      <w:r>
        <w:rPr>
          <w:rFonts w:cs="Arial"/>
          <w:b w:val="false"/>
          <w:bCs/>
          <w:i w:val="false"/>
          <w:iCs/>
        </w:rPr>
      </w:r>
    </w:p>
    <w:p>
      <w:pPr>
        <w:pStyle w:val="BodyText2"/>
        <w:rPr>
          <w:rFonts w:cs="Arial"/>
          <w:b w:val="false"/>
          <w:bCs/>
          <w:i w:val="false"/>
          <w:i w:val="false"/>
          <w:iCs/>
        </w:rPr>
      </w:pPr>
      <w:r>
        <w:rPr>
          <w:rFonts w:cs="Arial"/>
          <w:b w:val="false"/>
          <w:bCs/>
          <w:i w:val="false"/>
          <w:iCs/>
        </w:rPr>
        <w:t>Bids cannot be subject to corporate, shareholder or other internal approvals, contingent on the outcome of any other solicitations being conducted by Niagara Mohawk Holdings, Inc., or subject to financing.  All bids must be signed by an official with the legal authority to bind the bidding entity.</w:t>
      </w:r>
    </w:p>
    <w:p>
      <w:pPr>
        <w:pStyle w:val="Normal"/>
        <w:rPr>
          <w:rFonts w:ascii="Arial" w:hAnsi="Arial" w:cs="Arial"/>
          <w:b/>
          <w:bCs/>
          <w:i/>
          <w:i/>
          <w:iCs/>
          <w:sz w:val="22"/>
        </w:rPr>
      </w:pPr>
      <w:r>
        <w:rPr>
          <w:rFonts w:cs="Arial" w:ascii="Arial" w:hAnsi="Arial"/>
          <w:b/>
          <w:bCs/>
          <w:i/>
          <w:iCs/>
          <w:sz w:val="22"/>
        </w:rPr>
      </w:r>
    </w:p>
    <w:p>
      <w:pPr>
        <w:pStyle w:val="Normal"/>
        <w:rPr>
          <w:rFonts w:ascii="Arial" w:hAnsi="Arial" w:cs="Arial"/>
          <w:sz w:val="22"/>
        </w:rPr>
      </w:pPr>
      <w:r>
        <w:rPr>
          <w:rFonts w:cs="Arial" w:ascii="Arial" w:hAnsi="Arial"/>
          <w:sz w:val="22"/>
        </w:rPr>
      </w:r>
    </w:p>
    <w:p>
      <w:pPr>
        <w:pStyle w:val="Heading2"/>
        <w:ind w:hanging="0" w:start="0"/>
        <w:rPr>
          <w:i w:val="false"/>
          <w:i w:val="false"/>
          <w:iCs/>
        </w:rPr>
      </w:pPr>
      <w:r>
        <w:rPr>
          <w:i w:val="false"/>
          <w:iCs/>
        </w:rPr>
        <w:t>BID PACKAGES</w:t>
      </w:r>
    </w:p>
    <w:p>
      <w:pPr>
        <w:pStyle w:val="Normal"/>
        <w:rPr>
          <w:rFonts w:ascii="Arial" w:hAnsi="Arial" w:cs="Arial"/>
          <w:i/>
          <w:i/>
          <w:iCs/>
          <w:sz w:val="22"/>
        </w:rPr>
      </w:pPr>
      <w:r>
        <w:rPr>
          <w:rFonts w:cs="Arial" w:ascii="Arial" w:hAnsi="Arial"/>
          <w:i/>
          <w:iCs/>
          <w:sz w:val="22"/>
        </w:rPr>
      </w:r>
    </w:p>
    <w:p>
      <w:pPr>
        <w:pStyle w:val="Heading2"/>
        <w:ind w:hanging="0" w:start="0"/>
        <w:rPr>
          <w:rFonts w:cs="Arial"/>
          <w:b w:val="false"/>
          <w:bCs/>
          <w:i w:val="false"/>
          <w:i w:val="false"/>
          <w:iCs/>
        </w:rPr>
      </w:pPr>
      <w:r>
        <w:rPr>
          <w:rFonts w:cs="Arial"/>
          <w:b w:val="false"/>
          <w:bCs/>
          <w:i w:val="false"/>
          <w:iCs/>
        </w:rPr>
        <w:t xml:space="preserve">Bid packages shall be organized into four separate components:  (1) Bidder Information and Qualifications, (2) Supply Contracts and SOS Load Bids, (3) MPS Load Bids, and (4) Revisions to the Transaction Documents. These bid instructions and the Revised Transaction Documents supercede the information in Chapter 7 of the IM regarding bid structure, process and protocols. </w:t>
      </w:r>
    </w:p>
    <w:p>
      <w:pPr>
        <w:pStyle w:val="Normal"/>
        <w:rPr>
          <w:rFonts w:ascii="Arial" w:hAnsi="Arial" w:cs="Arial"/>
          <w:b/>
          <w:bCs/>
          <w:i/>
          <w:i/>
          <w:iCs/>
          <w:sz w:val="22"/>
        </w:rPr>
      </w:pPr>
      <w:r>
        <w:rPr>
          <w:rFonts w:cs="Arial" w:ascii="Arial" w:hAnsi="Arial"/>
          <w:b/>
          <w:bCs/>
          <w:i/>
          <w:iCs/>
          <w:sz w:val="22"/>
        </w:rPr>
      </w:r>
    </w:p>
    <w:p>
      <w:pPr>
        <w:pStyle w:val="Heading2"/>
        <w:ind w:hanging="0" w:start="0"/>
        <w:rPr>
          <w:rFonts w:cs="Arial"/>
          <w:i w:val="false"/>
          <w:i w:val="false"/>
          <w:iCs/>
        </w:rPr>
      </w:pPr>
      <w:r>
        <w:rPr>
          <w:rFonts w:cs="Arial"/>
          <w:i w:val="false"/>
          <w:iCs/>
        </w:rPr>
        <w:t>1.  Bidder Information and Qualifications</w:t>
        <w:br/>
      </w:r>
    </w:p>
    <w:p>
      <w:pPr>
        <w:pStyle w:val="Heading2"/>
        <w:ind w:firstLine="720" w:start="0" w:end="0"/>
        <w:rPr>
          <w:rFonts w:cs="Arial"/>
          <w:u w:val="single"/>
        </w:rPr>
      </w:pPr>
      <w:r>
        <w:rPr>
          <w:rFonts w:cs="Arial"/>
          <w:u w:val="single"/>
        </w:rPr>
        <w:t>General</w:t>
      </w:r>
    </w:p>
    <w:p>
      <w:pPr>
        <w:pStyle w:val="Normal"/>
        <w:rPr>
          <w:rFonts w:ascii="Arial" w:hAnsi="Arial" w:cs="Arial"/>
          <w:sz w:val="22"/>
        </w:rPr>
      </w:pPr>
      <w:r>
        <w:rPr>
          <w:rFonts w:cs="Arial" w:ascii="Arial" w:hAnsi="Arial"/>
          <w:sz w:val="22"/>
        </w:rPr>
        <w:t>Please indicate any changes to the information and qualifications you previously submitted to Navigant Consulting, including the identity of the bidding entity or group, organization, bidder contact(s), advisors, conflicts, and financial qualifications. In addition, please indicate any support services you anticipate requesting that NMPC provide and the expected duration of each requested service.</w:t>
      </w:r>
    </w:p>
    <w:p>
      <w:pPr>
        <w:pStyle w:val="Heading2"/>
        <w:ind w:hanging="0" w:start="0"/>
        <w:rPr>
          <w:rFonts w:ascii="Arial" w:hAnsi="Arial" w:cs="Arial"/>
          <w:sz w:val="22"/>
        </w:rPr>
      </w:pPr>
      <w:r>
        <w:rPr>
          <w:rFonts w:cs="Arial"/>
          <w:sz w:val="22"/>
        </w:rPr>
      </w:r>
    </w:p>
    <w:p>
      <w:pPr>
        <w:pStyle w:val="Heading2"/>
        <w:ind w:firstLine="720" w:start="0" w:end="0"/>
        <w:rPr>
          <w:rFonts w:cs="Arial"/>
          <w:u w:val="single"/>
        </w:rPr>
      </w:pPr>
      <w:r>
        <w:rPr>
          <w:rFonts w:cs="Arial"/>
          <w:u w:val="single"/>
        </w:rPr>
        <w:t>Financial Security Requirements</w:t>
      </w:r>
    </w:p>
    <w:p>
      <w:pPr>
        <w:pStyle w:val="Normal"/>
        <w:rPr>
          <w:rFonts w:ascii="Arial" w:hAnsi="Arial" w:cs="Arial"/>
          <w:sz w:val="22"/>
        </w:rPr>
      </w:pPr>
      <w:r>
        <w:rPr>
          <w:rFonts w:cs="Arial" w:ascii="Arial" w:hAnsi="Arial"/>
          <w:sz w:val="22"/>
        </w:rPr>
        <w:t>The winning bidder will be required to provide financial security in a form and amount acceptable to NMPC.  Because each bidder has a different financial profile, NMPC believes it is not advantageous to specify overly prescriptive financial security requirements in the bid instructions.  Rather you must mark-up the Transaction Documents to show the form and amount of financial security you have based your bid upon and are willing to provide to NMPC. Financial security may be provided in the form of a corporate guarantee, letter of credit, performance bond, government securities, cash or other collateral, or as a combination of the preceding (collectively, “Security Instruments”).  The specific amount of financial security required by NMPC will be based upon the credit worthiness of the bidder (or its guarantor) and the structure of the final agreements.  A bidder’s willingness to assign hedges or other risk mitigating instruments to NMPC for or during the term of the agreement will be considered in determining the amount of required financial security.  The Company is willing to discuss the bidder marking-to-market its position on a forward-looking basis.  NMPC welcomes creative alternatives as part of your submitted bid.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The provider of the Security Instrument(s) will be required to meet certain minimum credit criteria, including the maintenance of an investment grade credit rating and minimum capitalization.  NMPC may require alternate or additional Security Instruments if these minimum credit criteria are not maintained.</w:t>
      </w:r>
    </w:p>
    <w:p>
      <w:pPr>
        <w:pStyle w:val="Normal"/>
        <w:rPr>
          <w:rFonts w:ascii="Arial" w:hAnsi="Arial" w:cs="Arial"/>
          <w:sz w:val="22"/>
        </w:rPr>
      </w:pPr>
      <w:r>
        <w:rPr>
          <w:rFonts w:cs="Arial" w:ascii="Arial" w:hAnsi="Arial"/>
          <w:sz w:val="22"/>
        </w:rPr>
      </w:r>
    </w:p>
    <w:p>
      <w:pPr>
        <w:pStyle w:val="BodyText"/>
        <w:rPr>
          <w:rFonts w:cs="Arial"/>
        </w:rPr>
      </w:pPr>
      <w:r>
        <w:rPr>
          <w:rFonts w:cs="Arial"/>
        </w:rPr>
        <w:t xml:space="preserve">To the extent you plan to provide a corporate guarantee from a parent or an affiliate to satisfy NMPC’s security requirements, and you have not already done so, please submit the information described in the Request for Qualifications dated January 15, 2001, a copy of which has been provided as Attachment 1 for your convenience.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i w:val="false"/>
          <w:i w:val="false"/>
          <w:iCs/>
        </w:rPr>
      </w:pPr>
      <w:r>
        <w:rPr>
          <w:i w:val="false"/>
          <w:iCs/>
        </w:rPr>
        <w:t>2.  Supply Contracts and SOS Load Bids</w:t>
        <w:br/>
      </w:r>
    </w:p>
    <w:p>
      <w:pPr>
        <w:pStyle w:val="BodyText"/>
        <w:rPr>
          <w:rFonts w:cs="Arial"/>
        </w:rPr>
      </w:pPr>
      <w:r>
        <w:rPr>
          <w:rFonts w:cs="Arial"/>
        </w:rPr>
        <w:t xml:space="preserve">NMPC is seeking bids for certain defined Bid Options.  Bidders must provide bids for at least one of the Bid Options defined below.  Attachment 2 is a matrix which you must complete and include in your Bid Package indicating the options upon which you are submitting bids.  Please refer to the enclosed revised SOS Agreement and PPA Agreement in which specific definitions and contractual language associated with each Bid Option have been identified.  For each option you choose to bid upon, you must complete the associated Bid Sheet (see Attachments 3-8), providing the schedule of dollar amounts you propose to pay to or receive from NMPC over the term of each agreement (“Seller Payments”).  </w:t>
      </w:r>
    </w:p>
    <w:p>
      <w:pPr>
        <w:pStyle w:val="BodyText"/>
        <w:rPr>
          <w:rFonts w:cs="Arial"/>
        </w:rPr>
      </w:pPr>
      <w:r>
        <w:rPr>
          <w:rFonts w:cs="Arial"/>
        </w:rPr>
      </w:r>
    </w:p>
    <w:p>
      <w:pPr>
        <w:pStyle w:val="BodyText"/>
        <w:numPr>
          <w:ilvl w:val="0"/>
          <w:numId w:val="2"/>
        </w:numPr>
        <w:spacing w:before="0" w:after="240"/>
        <w:rPr>
          <w:rFonts w:cs="Arial"/>
        </w:rPr>
      </w:pPr>
      <w:r>
        <w:rPr>
          <w:rFonts w:cs="Arial"/>
          <w:u w:val="single"/>
        </w:rPr>
        <w:t>Bid Option 1a Fixed SOS EHV Rate Load Quantity with ESCo Customer-Retained Hedge</w:t>
      </w:r>
      <w:r>
        <w:rPr>
          <w:rFonts w:cs="Arial"/>
        </w:rPr>
        <w:t>:  under this option, the winning bidder will provide SOS at the established SOS EHV rates through 2003.  Beginning in 2004, a quantity of SOS EHV Rate Load will be fixed and will continue to be provided at the established SOS EHV rates.  Any load in excess of the fixed load will be provided at Market Prices. To the extent an SOS customer leaves NMPC’s service and takes service from an ESCo, the counterparty shall continue to hedge this load (full hedge through 2003, declining thereafter).  Note, the schedule of fixed SOS EHV Rate Load is not included in the enclosed Revised SOS Agreement.  It will be provided early next week.  See Attachment 3 for the Bid Option 1a Bid Sheet.</w:t>
      </w:r>
    </w:p>
    <w:p>
      <w:pPr>
        <w:pStyle w:val="BodyText"/>
        <w:numPr>
          <w:ilvl w:val="0"/>
          <w:numId w:val="2"/>
        </w:numPr>
        <w:spacing w:before="0" w:after="240"/>
        <w:rPr>
          <w:rFonts w:cs="Arial"/>
        </w:rPr>
      </w:pPr>
      <w:r>
        <w:rPr>
          <w:rFonts w:cs="Arial"/>
          <w:u w:val="single"/>
        </w:rPr>
        <w:t>Bid Option 1b Indexed</w:t>
      </w:r>
      <w:r>
        <w:rPr>
          <w:rFonts w:cs="Arial"/>
        </w:rPr>
        <w:t>:  under this option, the winning bidder will provide SOS as described in Bid Option1a, with the addition of an index factor whereby SOS EHV rates will be indexed as specified in Schedule A of the SOS Agreement beginning in 2004.  See Attachment 4 for the Bid Option 1b Bid Sheet.</w:t>
      </w:r>
    </w:p>
    <w:p>
      <w:pPr>
        <w:pStyle w:val="BodyText"/>
        <w:numPr>
          <w:ilvl w:val="0"/>
          <w:numId w:val="2"/>
        </w:numPr>
        <w:spacing w:before="0" w:after="240"/>
        <w:rPr>
          <w:rFonts w:cs="Arial"/>
        </w:rPr>
      </w:pPr>
      <w:r>
        <w:rPr>
          <w:rFonts w:cs="Arial"/>
          <w:u w:val="single"/>
        </w:rPr>
        <w:t>Bid Option 1c Collared:</w:t>
      </w:r>
      <w:r>
        <w:rPr>
          <w:rFonts w:cs="Arial"/>
        </w:rPr>
        <w:t xml:space="preserve">  under this option, the winning bidder will provide SOS as described in Bid Option 1b, but the index factor will be collared such that SOS EHV rates will not adjust upwards or downwards by more than 5 percent in any year.  See Attachment 5 for the Bid Option 1c Bid Sheet.</w:t>
      </w:r>
    </w:p>
    <w:p>
      <w:pPr>
        <w:pStyle w:val="BodyText"/>
        <w:numPr>
          <w:ilvl w:val="0"/>
          <w:numId w:val="2"/>
        </w:numPr>
        <w:spacing w:before="0" w:after="240"/>
        <w:rPr>
          <w:rFonts w:cs="Arial"/>
        </w:rPr>
      </w:pPr>
      <w:r>
        <w:rPr>
          <w:rFonts w:cs="Arial"/>
          <w:u w:val="single"/>
        </w:rPr>
        <w:t>Bid Option 2a Fixed SOS EHV Rate Load Quantity with NO ESCo Customer-Retained Hedge</w:t>
      </w:r>
      <w:r>
        <w:rPr>
          <w:rFonts w:cs="Arial"/>
        </w:rPr>
        <w:t>:  under this option, the winning bidder will provide SOS as described in Bid Option 1a, absent the provision for hedging a customer’s ESCo-served load.  See Attachment 6 for the Bid Option 2a Bid Sheet.</w:t>
      </w:r>
    </w:p>
    <w:p>
      <w:pPr>
        <w:pStyle w:val="BodyText"/>
        <w:numPr>
          <w:ilvl w:val="0"/>
          <w:numId w:val="2"/>
        </w:numPr>
        <w:rPr>
          <w:rFonts w:cs="Arial"/>
        </w:rPr>
      </w:pPr>
      <w:r>
        <w:rPr>
          <w:rFonts w:cs="Arial"/>
          <w:u w:val="single"/>
        </w:rPr>
        <w:t>Bid Option 2b Indexed</w:t>
      </w:r>
      <w:r>
        <w:rPr>
          <w:rFonts w:cs="Arial"/>
        </w:rPr>
        <w:t>:  under this option, the winning bidder will provide SOS as described in Bid Option 2a, with the addition of the index described in Bid Option 1b.  See Attachment 7 for the Bid Option 2b Bid Sheet.</w:t>
      </w:r>
    </w:p>
    <w:p>
      <w:pPr>
        <w:pStyle w:val="BodyText"/>
        <w:rPr>
          <w:rFonts w:cs="Arial"/>
        </w:rPr>
      </w:pPr>
      <w:r>
        <w:rPr>
          <w:rFonts w:cs="Arial"/>
        </w:rPr>
      </w:r>
    </w:p>
    <w:p>
      <w:pPr>
        <w:pStyle w:val="BodyText"/>
        <w:numPr>
          <w:ilvl w:val="0"/>
          <w:numId w:val="2"/>
        </w:numPr>
        <w:rPr>
          <w:rFonts w:cs="Arial"/>
        </w:rPr>
      </w:pPr>
      <w:r>
        <w:rPr>
          <w:rFonts w:cs="Arial"/>
          <w:u w:val="single"/>
        </w:rPr>
        <w:t>Bid Option 2c Collared</w:t>
      </w:r>
      <w:r>
        <w:rPr>
          <w:rFonts w:cs="Arial"/>
        </w:rPr>
        <w:t>:  under this option, the winning bidder will provide SOS as described in Bid Option 2b, but the index factor will be collared as described in Bid Option 1c.  See Attachment 8 for the Bid Option 2c Bid Sheet.</w:t>
      </w:r>
    </w:p>
    <w:p>
      <w:pPr>
        <w:pStyle w:val="BodyText"/>
        <w:rPr>
          <w:rFonts w:cs="Arial"/>
        </w:rPr>
      </w:pPr>
      <w:r>
        <w:rPr>
          <w:rFonts w:cs="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You may also choose to reflect an optional Nuclear Performance Adjustment in any or all of the Bid Options you submit.  The optional Nuclear Performance Adjustment, described in Article 4.01© of the PPA Agreement, will effect a true-up of the actual generation of the Nine Mile nuclear generating units to the forecasted generation at replacement power prices.   To the extent you choose to include this optional adjustment in your bid, please complete the relevant sections of the attached Bid Sheets.</w:t>
      </w:r>
    </w:p>
    <w:p>
      <w:pPr>
        <w:pStyle w:val="Normal"/>
        <w:rPr>
          <w:rFonts w:ascii="Arial" w:hAnsi="Arial" w:cs="Arial"/>
          <w:sz w:val="22"/>
        </w:rPr>
      </w:pPr>
      <w:r>
        <w:rPr>
          <w:rFonts w:cs="Arial" w:ascii="Arial" w:hAnsi="Arial"/>
          <w:sz w:val="22"/>
        </w:rPr>
      </w:r>
    </w:p>
    <w:p>
      <w:pPr>
        <w:pStyle w:val="BodyText"/>
        <w:rPr>
          <w:rFonts w:cs="Arial"/>
        </w:rPr>
      </w:pPr>
      <w:r>
        <w:rPr>
          <w:rFonts w:cs="Arial"/>
        </w:rPr>
        <w:t>In addition to the defined Bid Options and terms, NMPC welcomes the opportunity to review alternative bids that may result in greater value to NMPC.  To this end, bidders may choose to submit additional bid options as well as other terms the bidder chooses to mark-up differently for the alternative bid(s) than in the defined Bid Options. To the extent you choose to submit alternative bids, please clearly identify each alternative bid in your bid submittal.  For each alternative, please provide: (1) a detailed description of how the offer differs from the defined Bid Options; (2) a description of how the alternative may provide increased value; (3) all relevant economic inputs necessary for NMPC to evaluate this alternative; and (4) appropriately revised versions of the Transaction Documents.  Alternative bids should be provided electronically.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rFonts w:cs="Arial"/>
          <w:i w:val="false"/>
          <w:i w:val="false"/>
          <w:iCs/>
        </w:rPr>
      </w:pPr>
      <w:r>
        <w:rPr>
          <w:rFonts w:cs="Arial"/>
          <w:i w:val="false"/>
          <w:iCs/>
        </w:rPr>
        <w:t>3.  MPS Load Bids</w:t>
        <w:br/>
      </w:r>
    </w:p>
    <w:p>
      <w:pPr>
        <w:pStyle w:val="Normal"/>
        <w:rPr>
          <w:rFonts w:ascii="Arial" w:hAnsi="Arial" w:cs="Arial"/>
          <w:sz w:val="22"/>
        </w:rPr>
      </w:pPr>
      <w:r>
        <w:rPr>
          <w:rFonts w:cs="Arial" w:ascii="Arial" w:hAnsi="Arial"/>
          <w:sz w:val="22"/>
        </w:rPr>
        <w:t>Please complete the MPS Load Bid Sheet provided as Attachment 9.  This information will be used to complete the Monthly Amount Schedule in the MPS Agreement.  For purposes of bids, the expiration date of MPS Service is October 31, 2003.  In addition, NMPC welcomes bids that extend the term of MPS up to December 31, 2006.</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2"/>
        <w:ind w:hanging="0" w:start="0"/>
        <w:rPr>
          <w:rFonts w:cs="Arial"/>
          <w:i w:val="false"/>
          <w:i w:val="false"/>
          <w:iCs/>
        </w:rPr>
      </w:pPr>
      <w:r>
        <w:rPr>
          <w:rFonts w:cs="Arial"/>
          <w:i w:val="false"/>
          <w:iCs/>
        </w:rPr>
        <w:t>4.  Revisions to Transaction Agreements</w:t>
        <w:br/>
        <w:t xml:space="preserve"> </w:t>
      </w:r>
    </w:p>
    <w:p>
      <w:pPr>
        <w:pStyle w:val="Heading2"/>
        <w:ind w:hanging="0" w:start="0"/>
        <w:rPr/>
      </w:pPr>
      <w:r>
        <w:rPr>
          <w:rFonts w:cs="Arial"/>
          <w:b w:val="false"/>
          <w:bCs/>
          <w:i w:val="false"/>
          <w:iCs/>
        </w:rPr>
        <w:t xml:space="preserve">As noted above, the Transaction Documents provided to you on March 21, 2001 have been revised.  Both clean and black-lined versions of the revised documents are enclosed and have been posted to NMPC’s secure website.  </w:t>
      </w:r>
      <w:r>
        <w:rPr>
          <w:rFonts w:cs="Arial"/>
          <w:b w:val="false"/>
          <w:i w:val="false"/>
        </w:rPr>
        <w:br/>
      </w:r>
    </w:p>
    <w:p>
      <w:pPr>
        <w:pStyle w:val="Normal"/>
        <w:rPr>
          <w:rFonts w:ascii="Arial" w:hAnsi="Arial" w:cs="Arial"/>
          <w:sz w:val="22"/>
        </w:rPr>
      </w:pPr>
      <w:r>
        <w:rPr>
          <w:rFonts w:cs="Arial" w:ascii="Arial" w:hAnsi="Arial"/>
          <w:sz w:val="22"/>
        </w:rPr>
        <w:t xml:space="preserve">When you submit your Bid Package, all of your proposed changes to the enclosed revised contracts, exhibits and schedules must be clearly marked and will constitute a bid on the terms marked.  Unless otherwise clearly stated, NMPC will assume that any proposed modifications to the Transaction Agreements apply equally to all bid options, both the defined Bid Options and any alternative bids put forth by you.  Note, the nature and extent of any proposed modifications to the Transaction Agreements will be a significant factor in the evaluation of bids.  </w:t>
      </w:r>
    </w:p>
    <w:p>
      <w:pPr>
        <w:pStyle w:val="Heading2"/>
        <w:ind w:hanging="0" w:start="0"/>
        <w:rPr>
          <w:rFonts w:ascii="Arial" w:hAnsi="Arial" w:cs="Arial"/>
          <w:b w:val="false"/>
          <w:i w:val="false"/>
          <w:i w:val="false"/>
          <w:sz w:val="22"/>
        </w:rPr>
      </w:pPr>
      <w:r>
        <w:rPr>
          <w:rFonts w:cs="Arial"/>
          <w:b w:val="false"/>
          <w:i w:val="false"/>
          <w:sz w:val="22"/>
        </w:rPr>
      </w:r>
    </w:p>
    <w:p>
      <w:pPr>
        <w:pStyle w:val="Normal"/>
        <w:rPr>
          <w:rFonts w:ascii="Arial" w:hAnsi="Arial" w:cs="Arial"/>
          <w:b/>
          <w:i/>
          <w:i/>
          <w:sz w:val="22"/>
        </w:rPr>
      </w:pPr>
      <w:r>
        <w:rPr>
          <w:rFonts w:cs="Arial" w:ascii="Arial" w:hAnsi="Arial"/>
          <w:b/>
          <w:i/>
          <w:sz w:val="22"/>
        </w:rPr>
      </w:r>
    </w:p>
    <w:p>
      <w:pPr>
        <w:pStyle w:val="Heading1"/>
        <w:ind w:hanging="0" w:start="0"/>
        <w:rPr>
          <w:u w:val="none"/>
        </w:rPr>
      </w:pPr>
      <w:r>
        <w:rPr>
          <w:u w:val="none"/>
        </w:rPr>
        <w:t>CONCLUSION</w:t>
        <w:br/>
      </w:r>
    </w:p>
    <w:p>
      <w:pPr>
        <w:pStyle w:val="Normal"/>
        <w:rPr>
          <w:rFonts w:ascii="Arial" w:hAnsi="Arial" w:cs="Arial"/>
          <w:sz w:val="22"/>
        </w:rPr>
      </w:pPr>
      <w:r>
        <w:rPr>
          <w:rFonts w:cs="Arial" w:ascii="Arial" w:hAnsi="Arial"/>
          <w:sz w:val="22"/>
        </w:rPr>
        <w:t>Clearly identify each individual (s) to be contacted, if necessary, to clarify any aspect of you bid package, including office, mobile and home telephone numbers, facsimile numbers and e-mail addresses.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Eight paper copies and one electronic copy (via e-mail) of your entire bid package including your completed Bid Sheets, detailed descriptions and supporting workpapers of any alternative bid options, and your proposed modifications to the Transaction Agreements, should be delivered to Navigant Consulting, Inc. as identified below.  You are encouraged to submit the electronic copies of bid packages as soon as they are complete and not wait until the hard copy is delivered.</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Navigant Consulting, Inc.</w:t>
      </w:r>
    </w:p>
    <w:p>
      <w:pPr>
        <w:pStyle w:val="Normal"/>
        <w:rPr/>
      </w:pPr>
      <w:r>
        <w:rPr>
          <w:rFonts w:cs="Arial" w:ascii="Arial" w:hAnsi="Arial"/>
          <w:sz w:val="22"/>
        </w:rPr>
        <w:t>200 Wheeler Road, 4</w:t>
      </w:r>
      <w:r>
        <w:rPr>
          <w:rFonts w:cs="Arial" w:ascii="Arial" w:hAnsi="Arial"/>
          <w:sz w:val="22"/>
          <w:vertAlign w:val="superscript"/>
        </w:rPr>
        <w:t>th</w:t>
      </w:r>
      <w:r>
        <w:rPr>
          <w:rFonts w:cs="Arial" w:ascii="Arial" w:hAnsi="Arial"/>
          <w:sz w:val="22"/>
        </w:rPr>
        <w:t xml:space="preserve"> Floor</w:t>
      </w:r>
    </w:p>
    <w:p>
      <w:pPr>
        <w:pStyle w:val="Normal"/>
        <w:rPr>
          <w:rFonts w:ascii="Arial" w:hAnsi="Arial" w:cs="Arial"/>
          <w:sz w:val="22"/>
        </w:rPr>
      </w:pPr>
      <w:r>
        <w:rPr>
          <w:rFonts w:cs="Arial" w:ascii="Arial" w:hAnsi="Arial"/>
          <w:sz w:val="22"/>
        </w:rPr>
        <w:t>Burlington, MA 01803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 xml:space="preserve">Attention:  </w:t>
        <w:tab/>
        <w:t>Lisa Quilici</w:t>
      </w:r>
    </w:p>
    <w:p>
      <w:pPr>
        <w:pStyle w:val="Normal"/>
        <w:rPr>
          <w:rFonts w:ascii="Arial" w:hAnsi="Arial" w:cs="Arial"/>
          <w:sz w:val="22"/>
        </w:rPr>
      </w:pPr>
      <w:r>
        <w:rPr>
          <w:rFonts w:cs="Arial" w:ascii="Arial" w:hAnsi="Arial"/>
          <w:sz w:val="22"/>
        </w:rPr>
        <w:tab/>
        <w:tab/>
        <w:t>Managing Director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Telephone:</w:t>
        <w:tab/>
        <w:t>(781)564-9744</w:t>
      </w:r>
    </w:p>
    <w:p>
      <w:pPr>
        <w:pStyle w:val="Normal"/>
        <w:rPr>
          <w:rFonts w:ascii="Arial" w:hAnsi="Arial" w:cs="Arial"/>
          <w:sz w:val="22"/>
        </w:rPr>
      </w:pPr>
      <w:r>
        <w:rPr>
          <w:rFonts w:cs="Arial" w:ascii="Arial" w:hAnsi="Arial"/>
          <w:sz w:val="22"/>
        </w:rPr>
        <w:t>E-mail:</w:t>
        <w:tab/>
        <w:tab/>
      </w:r>
      <w:hyperlink r:id="rId2">
        <w:r>
          <w:rPr>
            <w:rStyle w:val="Hyperlink"/>
            <w:rFonts w:cs="Arial" w:ascii="Arial" w:hAnsi="Arial"/>
            <w:sz w:val="22"/>
          </w:rPr>
          <w:t>lmq@rcgroup.com</w:t>
        </w:r>
      </w:hyperlink>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Based on the bid packages received, NMPC intends to select the winning bidder with the assistance of Navigant Consulting.  NMPC expressly reserves the right, in its sole and absolute discretion, to negotiate with one or more bidders at any time during this process.  All bidders will be notified regarding the outcome of this competitive bidding process as soon as practicable.</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Navigant Consulting will continue as the sole point of contact regarding this Solicitation.  Under no circumstances should NMPC or any of its employees, affiliates or other advisors be contacted directly.</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NMPC reserves the right at any time, to modify any of the rules or procedures set forth herein or any other procedures, without prior notice and without assigning any reason.  Bidders will be notified as soon as practicable regarding any such modifications.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If you have any questions about these instructions or require any information about the Solicitation, please contact either Lisa Quilici or Don Ryan at the numbers provided below.</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Finally, please note that the existence and content of this letter, and the existence, content and status of any bid, are subject to the Confidentiality Agreement previously executed by you.</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On behalf of NMPC, thank you for your continuing interest.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Very truly yours,</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NAVIGANT CONSULTING, INC.</w:t>
      </w:r>
    </w:p>
    <w:p>
      <w:pPr>
        <w:pStyle w:val="Normal"/>
        <w:rPr>
          <w:rFonts w:ascii="Arial" w:hAnsi="Arial" w:cs="Arial"/>
          <w:b/>
          <w:sz w:val="22"/>
        </w:rPr>
      </w:pPr>
      <w:r>
        <w:rPr>
          <w:rFonts w:cs="Arial" w:ascii="Arial" w:hAnsi="Arial"/>
          <w:b/>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Lisa M. Quilici</w:t>
        <w:tab/>
        <w:tab/>
        <w:tab/>
        <w:tab/>
        <w:tab/>
        <w:t>Don Ryan</w:t>
      </w:r>
    </w:p>
    <w:p>
      <w:pPr>
        <w:pStyle w:val="Normal"/>
        <w:rPr>
          <w:rFonts w:ascii="Arial" w:hAnsi="Arial" w:cs="Arial"/>
          <w:sz w:val="22"/>
        </w:rPr>
      </w:pPr>
      <w:r>
        <w:rPr>
          <w:rFonts w:cs="Arial" w:ascii="Arial" w:hAnsi="Arial"/>
          <w:sz w:val="22"/>
        </w:rPr>
        <w:t>Managing Director</w:t>
        <w:tab/>
        <w:tab/>
        <w:tab/>
        <w:tab/>
        <w:t>Principal</w:t>
      </w:r>
    </w:p>
    <w:p>
      <w:pPr>
        <w:pStyle w:val="Normal"/>
        <w:rPr>
          <w:rFonts w:ascii="Arial" w:hAnsi="Arial" w:cs="Arial"/>
          <w:sz w:val="22"/>
        </w:rPr>
      </w:pPr>
      <w:r>
        <w:rPr>
          <w:rFonts w:cs="Arial" w:ascii="Arial" w:hAnsi="Arial"/>
          <w:sz w:val="22"/>
        </w:rPr>
        <w:t>(781)564-9744</w:t>
        <w:tab/>
        <w:tab/>
        <w:tab/>
        <w:tab/>
        <w:t>(781)564-9743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Attachments</w:t>
      </w:r>
    </w:p>
    <w:sectPr>
      <w:headerReference w:type="default" r:id="rId3"/>
      <w:type w:val="nextPage"/>
      <w:pgSz w:w="12240" w:h="15840"/>
      <w:pgMar w:left="1728" w:right="1728"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rPr>
      <w:t xml:space="preserve">[Name], 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2"/>
      <w:u w:val="single"/>
    </w:rPr>
  </w:style>
  <w:style w:type="paragraph" w:styleId="Heading2">
    <w:name w:val="heading 2"/>
    <w:basedOn w:val="Normal"/>
    <w:next w:val="Normal"/>
    <w:qFormat/>
    <w:pPr>
      <w:keepNext w:val="true"/>
      <w:numPr>
        <w:ilvl w:val="1"/>
        <w:numId w:val="1"/>
      </w:numPr>
      <w:outlineLvl w:val="1"/>
    </w:pPr>
    <w:rPr>
      <w:rFonts w:ascii="Arial" w:hAnsi="Arial" w:cs="Arial"/>
      <w:b/>
      <w:i/>
      <w:sz w:val="22"/>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b/>
      <w:i/>
    </w:rPr>
  </w:style>
  <w:style w:type="character" w:styleId="WW8Num2z0">
    <w:name w:val="WW8Num2z0"/>
    <w:qFormat/>
    <w:rPr/>
  </w:style>
  <w:style w:type="character" w:styleId="WW8Num3z0">
    <w:name w:val="WW8Num3z0"/>
    <w:qFormat/>
    <w:rPr>
      <w:b/>
      <w:i/>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2z0">
    <w:name w:val="WW8Num12z0"/>
    <w:qFormat/>
    <w:rPr/>
  </w:style>
  <w:style w:type="character" w:styleId="WW8Num13z0">
    <w:name w:val="WW8Num13z0"/>
    <w:qFormat/>
    <w:rPr>
      <w:b/>
      <w:i/>
    </w:rPr>
  </w:style>
  <w:style w:type="character" w:styleId="WW8Num14z0">
    <w:name w:val="WW8Num14z0"/>
    <w:qFormat/>
    <w:rPr/>
  </w:style>
  <w:style w:type="character" w:styleId="WW8Num15z0">
    <w:name w:val="WW8Num15z0"/>
    <w:qFormat/>
    <w:rPr>
      <w:b/>
      <w:i/>
    </w:rPr>
  </w:style>
  <w:style w:type="character" w:styleId="WW8Num17z0">
    <w:name w:val="WW8Num17z0"/>
    <w:qFormat/>
    <w:rPr>
      <w:b/>
      <w:i/>
    </w:rPr>
  </w:style>
  <w:style w:type="character" w:styleId="WW8Num18z0">
    <w:name w:val="WW8Num18z0"/>
    <w:qFormat/>
    <w:rPr/>
  </w:style>
  <w:style w:type="character" w:styleId="WW8Num19z0">
    <w:name w:val="WW8Num19z0"/>
    <w:qFormat/>
    <w:rPr>
      <w:rFonts w:ascii="Arial" w:hAnsi="Arial" w:cs="Arial"/>
      <w:sz w:val="22"/>
    </w:rPr>
  </w:style>
  <w:style w:type="character" w:styleId="WW8Num20z0">
    <w:name w:val="WW8Num20z0"/>
    <w:qFormat/>
    <w:rPr>
      <w:b/>
      <w:i/>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i/>
      <w:sz w:val="22"/>
    </w:rPr>
  </w:style>
  <w:style w:type="paragraph" w:styleId="BodyTextIndent">
    <w:name w:val="Body Text Indent"/>
    <w:basedOn w:val="Normal"/>
    <w:pPr>
      <w:ind w:firstLine="720" w:start="0" w:end="0"/>
    </w:pPr>
    <w:rPr>
      <w:rFonts w:ascii="Arial" w:hAnsi="Arial" w:cs="Arial"/>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mq@rcgroup.com"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2001-04-13T00:07:00Z</dcterms:created>
  <dc:creator>Preferred Customer</dc:creator>
  <dc:description/>
  <dc:language>en-CA</dc:language>
  <cp:lastModifiedBy>Navigant Consulting, Inc.</cp:lastModifiedBy>
  <cp:lastPrinted>2001-04-09T08:14:00Z</cp:lastPrinted>
  <dcterms:modified xsi:type="dcterms:W3CDTF">2001-04-13T00:31:00Z</dcterms:modified>
  <cp:revision>3</cp:revision>
  <dc:subject/>
  <dc:title>Confidential</dc:title>
</cp:coreProperties>
</file>