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Enron’s Comments on Competitive Bidding</w:t>
      </w:r>
    </w:p>
    <w:p>
      <w:pPr>
        <w:pStyle w:val="Normal"/>
        <w:jc w:val="center"/>
        <w:rPr>
          <w:b/>
          <w:bCs/>
        </w:rPr>
      </w:pPr>
      <w:r>
        <w:rPr>
          <w:b/>
          <w:bCs/>
        </w:rPr>
      </w:r>
    </w:p>
    <w:p>
      <w:pPr>
        <w:pStyle w:val="Normal"/>
        <w:rPr>
          <w:b/>
          <w:bCs/>
        </w:rPr>
      </w:pPr>
      <w:r>
        <w:rPr>
          <w:b/>
          <w:bCs/>
        </w:rPr>
      </w:r>
    </w:p>
    <w:p>
      <w:pPr>
        <w:pStyle w:val="Normal"/>
        <w:spacing w:lineRule="auto" w:line="360"/>
        <w:rPr/>
      </w:pPr>
      <w:r>
        <w:rPr>
          <w:b/>
          <w:bCs/>
        </w:rPr>
        <w:tab/>
      </w:r>
      <w:r>
        <w:rPr/>
        <w:t xml:space="preserve">The legislative intent behind SB 3 was to foster competition for retail service.  Sec. 4928.14 </w:t>
      </w:r>
      <w:r>
        <w:rPr>
          <w:u w:val="single"/>
        </w:rPr>
        <w:t>Ohio Rev. Code</w:t>
      </w:r>
      <w:r>
        <w:rPr/>
        <w:t xml:space="preserve"> is specifically designed to ensure that robust competition continues to develop after the Market Development Period (MDP).  Therefore, a competitive bidding scenario that contemplates strictly wholesale delivery does not comply with the statutory intent.  The competitive bidding model must be for retail load, with the customer being transferred to the winning bidder.  In essence, the winning bidder steps into the shoes of the Electric Distribution Utility (EDU) as provider of last resort.  For this to work successfully, this means that the new supplier must have the same protections as the EDU such as a come and go rate and the ability to disconnect.  Alternatively and preferably on the issue of disconnection, Enron would propose that the EDU’s purchase the receivables and continue to get compensated for bad debt in their rates as has traditionally been the case.  Under that mechanism, the supplier would not need to be involved with disconnections.  Also, as the provider of last resort, customers should be free to switch at any time to an alternative supplier.  Different from aggregation, the bidding process should not lock in customers for any specified period.  Any entity, including the winning bidder could market to individual customers in the group.  This will also help smaller marketers who are unable to take on the provider of last resort role in a competitive bid.  They could continue to compete by offering savings off the winning supplier’s bid as they had with the EDU.</w:t>
      </w:r>
    </w:p>
    <w:p>
      <w:pPr>
        <w:pStyle w:val="Normal"/>
        <w:spacing w:lineRule="auto" w:line="360"/>
        <w:rPr/>
      </w:pPr>
      <w:r>
        <w:rPr/>
      </w:r>
    </w:p>
    <w:p>
      <w:pPr>
        <w:pStyle w:val="Normal"/>
        <w:spacing w:lineRule="auto" w:line="360"/>
        <w:rPr/>
      </w:pPr>
      <w:r>
        <w:rPr/>
        <w:tab/>
        <w:t>Enron’s view is that there should be a competitive bid and that the winning bid becomes the standard offer price.  This is certainly an option under 4928.14 and it makes the most sense.  If the winning bidder must then place its price along side a utility’s standard offer price with the customer choosing between the two, there is too much uncertainty.  This is because the marketer no longer knows the size of the load it is bidding for and must build that uncertainty into the price.  This in turn erodes customer savings.  Without the certain contained in a “opt-out” as to size of load, it is extremely difficult tosubmit a realistic bid and may discourage many marketers including Enron from participating.  Simply stated, a dual approach will not work.  Moreover, after the transition period, an EDU should not be in the position of providing generation services and if it is provided by the marketing affiliate, it should be accomplished in a process that affords nonaffiliated marketers the same opportunity.  That is the best way to ultimately guarantee the lowest rates for customers.</w:t>
      </w:r>
    </w:p>
    <w:p>
      <w:pPr>
        <w:pStyle w:val="Normal"/>
        <w:spacing w:lineRule="auto" w:line="360"/>
        <w:rPr/>
      </w:pPr>
      <w:r>
        <w:rPr/>
      </w:r>
    </w:p>
    <w:p>
      <w:pPr>
        <w:pStyle w:val="Normal"/>
        <w:spacing w:lineRule="auto" w:line="360"/>
        <w:rPr/>
      </w:pPr>
      <w:r>
        <w:rPr/>
        <w:tab/>
        <w:t>In order to afford customers with the maximum amount of savings and to ease the administrative burden of repeating a bidding process on a frequent basis, Enron would recommend that bids be in place for 2-4 years.  Given the time of a bid cycle (approximately nine months as proposed by Enron), if bidding occurred annually, there would be a new bid proposal set in motion only three months after the initial bid is in place.  This seems somewhat impractical.  Time must be given to work out the unavoidable glitches that occur in transferring customers.  Moreover, Enron believes that the customer will realize better savings if a marketer can lock in prices for a longer term.</w:t>
      </w:r>
    </w:p>
    <w:p>
      <w:pPr>
        <w:pStyle w:val="Normal"/>
        <w:spacing w:lineRule="auto" w:line="360"/>
        <w:rPr/>
      </w:pPr>
      <w:r>
        <w:rPr/>
      </w:r>
    </w:p>
    <w:p>
      <w:pPr>
        <w:pStyle w:val="Normal"/>
        <w:spacing w:lineRule="auto" w:line="360"/>
        <w:rPr/>
      </w:pPr>
      <w:r>
        <w:rPr/>
        <w:tab/>
        <w:t xml:space="preserve">Enron recommends that customers be bid out by customer class in tranches of 100 – 200 MW.  This enables marketers to focus on the customer class that their business is designed to address.  For example, some marketers only market to C&amp;I, while others focus on residential.  The customer class segmentation is broad enough to include small and large customers, rich and poor, in order to be sure that there is a diversified mix and that redlining does not occur.  The size of the tranches will accomplish several goals.  First, it will create opportunities for many marketers to participate which will stimulate competition.  By not making the tranches overly large, the risk of a marketer not being able to meet its obligations is minimized.  It will also increase the number of marketers who would be willing to participate.  A marketer may not be willing to take on the risk for serving upwards of a thousand megawatts, but would take on 200 MW.  </w:t>
      </w:r>
    </w:p>
    <w:p>
      <w:pPr>
        <w:pStyle w:val="Normal"/>
        <w:spacing w:lineRule="auto" w:line="360"/>
        <w:rPr/>
      </w:pPr>
      <w:r>
        <w:rPr/>
      </w:r>
    </w:p>
    <w:p>
      <w:pPr>
        <w:pStyle w:val="Normal"/>
        <w:spacing w:lineRule="auto" w:line="360"/>
        <w:rPr/>
      </w:pPr>
      <w:r>
        <w:rPr/>
        <w:tab/>
        <w:t>With regard to the RFP process, Enron’s view is that if affiliates of an EDU are going to participate in the bidding, then their must be some independence to avoid even the appearance of impropriety.  Leaving the design and scope of an RFP entirely with the EDU creates problems as that EDU may knowingly or unknowingly create an RPF that is designed for failure.  The code of conduct is not designed to necessarily handle this kind of potential problem.  For example, allowing an EDU to include in an RFP that the bidder must have generation, will greatly and unreasonable narrow the number of bid participants to little more than utility affiliates.  This is not helpful to competition.  Enron believes that there are several ways to address this issue.  One alternative is to have an independent consultant prepare and administer the RFP process.  The RFP should be reviewed by all interested parties with the Commission Staff or Commissioners having the final word on unresolvable areas of controversy.  Another is to design an acceptable RFP in the working group that would be used by all the EDU’s.  The importance of marketer input on the RFP process cannot be stressed enough.  Everyone is better served by identifying the problems up front and fixing them as opposed to undertaking the extensive effort to issue a bid to which no marketers, or a very few respond, because of terms of conditions which if altered, would have resulted in a different outcome.</w:t>
      </w:r>
    </w:p>
    <w:p>
      <w:pPr>
        <w:pStyle w:val="Normal"/>
        <w:spacing w:lineRule="auto" w:line="360"/>
        <w:rPr/>
      </w:pPr>
      <w:r>
        <w:rPr/>
      </w:r>
    </w:p>
    <w:p>
      <w:pPr>
        <w:pStyle w:val="Normal"/>
        <w:spacing w:lineRule="auto" w:line="360"/>
        <w:rPr/>
      </w:pPr>
      <w:r>
        <w:rPr/>
        <w:tab/>
        <w:t>In order to protect consumers and the public, all bidders should either be certified as a CRES provider or have a CRES application pending at the Commission that is approved prior to announcing the winning bidder.  This is the only way to ensure the qualifications of the winning bidder.  Moreover, given the POLR responsibility, Enron would not oppose a requirement for a reasonable additional financial guarantee.</w:t>
      </w:r>
    </w:p>
    <w:p>
      <w:pPr>
        <w:pStyle w:val="Normal"/>
        <w:spacing w:lineRule="auto" w:line="360"/>
        <w:rPr/>
      </w:pPr>
      <w:r>
        <w:rPr/>
      </w:r>
    </w:p>
    <w:p>
      <w:pPr>
        <w:pStyle w:val="Normal"/>
        <w:spacing w:lineRule="auto" w:line="360"/>
        <w:rPr/>
      </w:pPr>
      <w:r>
        <w:rPr/>
        <w:tab/>
        <w:t>In conclusion, Enron supports competitive bidding as the mechanism for addressing POLR and believes that the success of the process hinges in large part on the degree to which marketers can have input in the RFP process to demonstrate what works and doesn’t work.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2001-10-11T18:42:00Z</dcterms:created>
  <dc:creator>jmigden</dc:creator>
  <dc:description/>
  <dc:language>en-CA</dc:language>
  <cp:lastModifiedBy>jmigden</cp:lastModifiedBy>
  <dcterms:modified xsi:type="dcterms:W3CDTF">2001-10-11T19:49:00Z</dcterms:modified>
  <cp:revision>1</cp:revision>
  <dc:subject/>
  <dc:title>Enron’s Comments on Competitive Bidding</dc:title>
</cp:coreProperties>
</file>