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 Beth Jenkins</w:t>
      </w:r>
    </w:p>
    <w:p>
      <w:pPr>
        <w:pStyle w:val="Normal"/>
        <w:jc w:val="center"/>
        <w:rPr>
          <w:sz w:val="20"/>
        </w:rPr>
      </w:pPr>
      <w:r>
        <w:rPr>
          <w:sz w:val="20"/>
        </w:rPr>
        <w:t>909 Texas Avenue, #1808 - Houston, Texas 77002</w:t>
      </w:r>
    </w:p>
    <w:p>
      <w:pPr>
        <w:pStyle w:val="Normal"/>
        <w:jc w:val="center"/>
        <w:rPr>
          <w:sz w:val="20"/>
        </w:rPr>
      </w:pPr>
      <w:r>
        <w:rPr>
          <w:sz w:val="20"/>
        </w:rPr>
        <w:t>713 225 1230 - bjenkins2@houston.rr.com</w:t>
      </w:r>
    </w:p>
    <w:p>
      <w:pPr>
        <w:pStyle w:val="Normal"/>
        <w:pBdr>
          <w:bottom w:val="single" w:sz="4" w:space="1" w:color="000000"/>
        </w:pBdr>
        <w:rPr>
          <w:sz w:val="20"/>
        </w:rPr>
      </w:pPr>
      <w:r>
        <w:rPr>
          <w:sz w:val="20"/>
        </w:rPr>
      </w:r>
    </w:p>
    <w:p>
      <w:pPr>
        <w:pStyle w:val="Normal"/>
        <w:rPr>
          <w:sz w:val="20"/>
        </w:rPr>
      </w:pPr>
      <w:r>
        <w:rPr>
          <w:sz w:val="20"/>
        </w:rPr>
      </w:r>
    </w:p>
    <w:p>
      <w:pPr>
        <w:pStyle w:val="Normal"/>
        <w:rPr>
          <w:sz w:val="20"/>
        </w:rPr>
      </w:pPr>
      <w:r>
        <w:rPr>
          <w:sz w:val="20"/>
        </w:rPr>
        <w:t xml:space="preserve">07/01 – Present </w:t>
        <w:tab/>
      </w:r>
      <w:r>
        <w:rPr>
          <w:b/>
          <w:bCs/>
          <w:sz w:val="20"/>
        </w:rPr>
        <w:t xml:space="preserve">Enron Corporation </w:t>
        <w:tab/>
        <w:tab/>
        <w:tab/>
        <w:tab/>
        <w:tab/>
        <w:tab/>
        <w:t>Houston, TX</w:t>
      </w:r>
    </w:p>
    <w:p>
      <w:pPr>
        <w:pStyle w:val="Heading2"/>
        <w:ind w:hanging="0" w:start="0" w:end="0"/>
        <w:rPr/>
      </w:pPr>
      <w:r>
        <w:rPr/>
        <w:t>Enron Energy Services – Director, Physical Options Desk</w:t>
      </w:r>
    </w:p>
    <w:p>
      <w:pPr>
        <w:pStyle w:val="BlockText"/>
        <w:ind w:start="0" w:end="0"/>
        <w:rPr/>
      </w:pPr>
      <w:r>
        <w:rPr/>
        <w:t>Developed two products for the purpose of monetizing physical options and reducing exposure in the EES book.  The development of these products included proving their economic viability, developing a method to determine forward hourly volatility, and putting together boilerplate legal language and marketing materials for origination to use in the selling of the products. The financial and physical management of these products would occur in my group.  The hourly volatility work also contributed to a method for proper management and evaluation of load following transactions.  Currently assisting in the liquidation of the retail books.</w:t>
      </w:r>
    </w:p>
    <w:p>
      <w:pPr>
        <w:pStyle w:val="Normal"/>
        <w:rPr>
          <w:sz w:val="20"/>
        </w:rPr>
      </w:pPr>
      <w:r>
        <w:rPr>
          <w:sz w:val="20"/>
        </w:rPr>
      </w:r>
    </w:p>
    <w:p>
      <w:pPr>
        <w:pStyle w:val="Normal"/>
        <w:rPr/>
      </w:pPr>
      <w:r>
        <w:rPr>
          <w:sz w:val="20"/>
        </w:rPr>
        <w:t>09/97 – 07/01</w:t>
        <w:tab/>
      </w:r>
      <w:r>
        <w:rPr>
          <w:b/>
          <w:bCs/>
          <w:sz w:val="20"/>
        </w:rPr>
        <w:t>Florida Power and Light Corporation</w:t>
        <w:tab/>
        <w:tab/>
        <w:tab/>
        <w:tab/>
        <w:t>Juno Beach, FL</w:t>
      </w:r>
    </w:p>
    <w:p>
      <w:pPr>
        <w:pStyle w:val="Heading2"/>
        <w:ind w:hanging="0" w:start="0" w:end="0"/>
        <w:rPr/>
      </w:pPr>
      <w:r>
        <w:rPr/>
        <w:t>FPL Energy – Director, Project Development</w:t>
      </w:r>
    </w:p>
    <w:p>
      <w:pPr>
        <w:pStyle w:val="BodyTextIndent2"/>
        <w:ind w:start="0" w:end="0"/>
        <w:rPr>
          <w:sz w:val="20"/>
        </w:rPr>
      </w:pPr>
      <w:r>
        <w:rPr>
          <w:sz w:val="20"/>
        </w:rPr>
        <w:t>Developed projects that resulted in the permitting and construction of over 3,500 MW of natural gas fired generation.  Lead teams of 10-15 people in analyzing, structuring, and negotiating the development projects.  Team members consisted of a diverse group of disciplines:  transmission, water, engineering, market services, trading, origination, finance, legal and fuel.</w:t>
      </w:r>
    </w:p>
    <w:p>
      <w:pPr>
        <w:pStyle w:val="Normal"/>
        <w:rPr>
          <w:sz w:val="20"/>
        </w:rPr>
      </w:pPr>
      <w:r>
        <w:rPr>
          <w:sz w:val="20"/>
        </w:rPr>
      </w:r>
    </w:p>
    <w:p>
      <w:pPr>
        <w:pStyle w:val="Heading1"/>
        <w:ind w:start="0" w:end="0"/>
        <w:rPr>
          <w:i/>
          <w:i/>
          <w:iCs/>
          <w:sz w:val="20"/>
        </w:rPr>
      </w:pPr>
      <w:r>
        <w:rPr>
          <w:b w:val="false"/>
          <w:bCs w:val="false"/>
          <w:i/>
          <w:iCs/>
          <w:sz w:val="20"/>
        </w:rPr>
        <w:t>Energy Marketing and Trading – Manager, Trading Desk</w:t>
        <w:tab/>
      </w:r>
    </w:p>
    <w:p>
      <w:pPr>
        <w:pStyle w:val="BodyTextIndent2"/>
        <w:ind w:start="0" w:end="0"/>
        <w:rPr>
          <w:sz w:val="20"/>
        </w:rPr>
      </w:pPr>
      <w:r>
        <w:rPr>
          <w:sz w:val="20"/>
        </w:rPr>
        <w:t>Managed the utility portfolio with respect to trading, fuel procurement, gas transportation, and contributed to the establishment and implementation of risk management policies and procedures.  Activities included fuel switching, unit switching and outage management.  Modernized the role of the fuel group from one of procurement to portfolio management.</w:t>
      </w:r>
    </w:p>
    <w:p>
      <w:pPr>
        <w:pStyle w:val="Normal"/>
        <w:rPr>
          <w:sz w:val="20"/>
        </w:rPr>
      </w:pPr>
      <w:r>
        <w:rPr>
          <w:sz w:val="20"/>
        </w:rPr>
      </w:r>
    </w:p>
    <w:p>
      <w:pPr>
        <w:pStyle w:val="Normal"/>
        <w:rPr/>
      </w:pPr>
      <w:r>
        <w:rPr>
          <w:sz w:val="20"/>
        </w:rPr>
        <w:t>11/96 - 08/97</w:t>
        <w:tab/>
      </w:r>
      <w:r>
        <w:rPr>
          <w:b/>
          <w:bCs/>
          <w:sz w:val="20"/>
        </w:rPr>
        <w:t>Noram Corporation (Reliant)</w:t>
        <w:tab/>
        <w:tab/>
        <w:tab/>
        <w:tab/>
        <w:tab/>
        <w:t>Houston, TX</w:t>
      </w:r>
    </w:p>
    <w:p>
      <w:pPr>
        <w:pStyle w:val="Heading3"/>
        <w:ind w:hanging="0" w:start="0" w:end="0"/>
        <w:rPr/>
      </w:pPr>
      <w:r>
        <w:rPr/>
        <w:t>Noram Energy Services – Manager, Risk Management</w:t>
      </w:r>
    </w:p>
    <w:p>
      <w:pPr>
        <w:pStyle w:val="BodyTextIndent3"/>
        <w:ind w:start="0" w:end="0"/>
        <w:rPr>
          <w:sz w:val="20"/>
        </w:rPr>
      </w:pPr>
      <w:r>
        <w:rPr>
          <w:sz w:val="20"/>
        </w:rPr>
        <w:t>Responsible financial trading activity, traded NYMEX book, consolidated swap settlements, worked with CFO to develop better reporting, introduce mark to market accounting, and VaR</w:t>
      </w:r>
    </w:p>
    <w:p>
      <w:pPr>
        <w:pStyle w:val="Normal"/>
        <w:rPr>
          <w:sz w:val="20"/>
        </w:rPr>
      </w:pPr>
      <w:r>
        <w:rPr>
          <w:sz w:val="20"/>
        </w:rPr>
      </w:r>
    </w:p>
    <w:p>
      <w:pPr>
        <w:pStyle w:val="Normal"/>
        <w:rPr/>
      </w:pPr>
      <w:r>
        <w:rPr>
          <w:sz w:val="20"/>
        </w:rPr>
        <w:t>06/94 – 11/96</w:t>
        <w:tab/>
      </w:r>
      <w:r>
        <w:rPr>
          <w:b/>
          <w:bCs/>
          <w:sz w:val="20"/>
        </w:rPr>
        <w:t>Coastal Corporation (El Paso Merchant Energy)</w:t>
        <w:tab/>
        <w:tab/>
        <w:tab/>
        <w:t>Houston, TX</w:t>
      </w:r>
    </w:p>
    <w:p>
      <w:pPr>
        <w:pStyle w:val="Heading2"/>
        <w:ind w:hanging="0" w:start="0" w:end="0"/>
        <w:rPr/>
      </w:pPr>
      <w:r>
        <w:rPr/>
        <w:t>Coastal Gas Marketing – Manager, Risk Management - Midcontinent</w:t>
      </w:r>
    </w:p>
    <w:p>
      <w:pPr>
        <w:pStyle w:val="BodyTextIndent2"/>
        <w:ind w:start="0" w:end="0"/>
        <w:rPr>
          <w:sz w:val="20"/>
        </w:rPr>
      </w:pPr>
      <w:r>
        <w:rPr>
          <w:sz w:val="20"/>
        </w:rPr>
        <w:t>Met or exceeded trading budget each quarter, managed physical and financial basis positions as well as the NYMEX book for the Mid-continent region, collaborated with storage strategy team to develop hedging strategy, implemented and administered the hedges for 12 BcF on ANR’s storage system.</w:t>
      </w:r>
    </w:p>
    <w:p>
      <w:pPr>
        <w:pStyle w:val="BodyTextIndent"/>
        <w:ind w:start="0" w:end="0"/>
        <w:rPr>
          <w:i/>
          <w:i/>
          <w:iCs/>
          <w:sz w:val="20"/>
        </w:rPr>
      </w:pPr>
      <w:r>
        <w:rPr>
          <w:i/>
          <w:iCs/>
          <w:sz w:val="20"/>
        </w:rPr>
      </w:r>
    </w:p>
    <w:p>
      <w:pPr>
        <w:pStyle w:val="BodyTextIndent"/>
        <w:ind w:firstLine="720" w:start="0" w:end="0"/>
        <w:rPr>
          <w:i/>
          <w:i/>
          <w:iCs/>
          <w:sz w:val="20"/>
        </w:rPr>
      </w:pPr>
      <w:r>
        <w:rPr>
          <w:i/>
          <w:iCs/>
          <w:sz w:val="20"/>
        </w:rPr>
        <w:t>Coastal Gas Marketing - Risk Manager</w:t>
        <w:tab/>
        <w:tab/>
        <w:tab/>
      </w:r>
    </w:p>
    <w:p>
      <w:pPr>
        <w:pStyle w:val="BodyTextIndent"/>
        <w:ind w:start="0" w:end="0"/>
        <w:jc w:val="both"/>
        <w:rPr>
          <w:sz w:val="20"/>
        </w:rPr>
      </w:pPr>
      <w:r>
        <w:rPr>
          <w:sz w:val="20"/>
        </w:rPr>
        <w:t>Traded basis in the Gulf Coast, managed three-day/last day exposure, tracked and reported NYMEX and basis positions, posted EFPs and ADPs, in the absence of systems to do so, developed and maintained daily MTM and VaR position reports for the risk management group</w:t>
      </w:r>
    </w:p>
    <w:p>
      <w:pPr>
        <w:pStyle w:val="BodyTextIndent"/>
        <w:ind w:start="0" w:end="0"/>
        <w:jc w:val="both"/>
        <w:rPr>
          <w:sz w:val="20"/>
        </w:rPr>
      </w:pPr>
      <w:r>
        <w:rPr>
          <w:sz w:val="20"/>
        </w:rPr>
      </w:r>
    </w:p>
    <w:p>
      <w:pPr>
        <w:pStyle w:val="BodyTextIndent"/>
        <w:ind w:start="0" w:end="0"/>
        <w:jc w:val="both"/>
        <w:rPr/>
      </w:pPr>
      <w:r>
        <w:rPr>
          <w:sz w:val="20"/>
        </w:rPr>
        <w:t>09/92 - 06/94</w:t>
        <w:tab/>
      </w:r>
      <w:r>
        <w:rPr>
          <w:b/>
          <w:bCs/>
          <w:sz w:val="20"/>
        </w:rPr>
        <w:t>FutureSource (Bridge)</w:t>
        <w:tab/>
        <w:tab/>
        <w:tab/>
        <w:tab/>
        <w:tab/>
        <w:tab/>
        <w:t>Houston, TX</w:t>
      </w:r>
    </w:p>
    <w:p>
      <w:pPr>
        <w:pStyle w:val="BodyTextIndent"/>
        <w:ind w:start="0" w:end="0"/>
        <w:jc w:val="both"/>
        <w:rPr>
          <w:sz w:val="20"/>
        </w:rPr>
      </w:pPr>
      <w:r>
        <w:rPr>
          <w:sz w:val="20"/>
        </w:rPr>
        <w:t>02/92 - 09/92</w:t>
        <w:tab/>
      </w:r>
      <w:r>
        <w:rPr>
          <w:b/>
          <w:bCs/>
          <w:sz w:val="20"/>
        </w:rPr>
        <w:t>IDS Financial Services (American Express)</w:t>
        <w:tab/>
        <w:tab/>
        <w:tab/>
        <w:t>Houston, TX</w:t>
      </w:r>
    </w:p>
    <w:p>
      <w:pPr>
        <w:pStyle w:val="BodyTextIndent"/>
        <w:ind w:start="0" w:end="0"/>
        <w:jc w:val="both"/>
        <w:rPr/>
      </w:pPr>
      <w:r>
        <w:rPr>
          <w:sz w:val="20"/>
        </w:rPr>
        <w:t>01/91 - 02/92</w:t>
        <w:tab/>
      </w:r>
      <w:r>
        <w:rPr>
          <w:b/>
          <w:bCs/>
          <w:sz w:val="20"/>
        </w:rPr>
        <w:t>Norrell Corporation (Proctor and Gamble)</w:t>
        <w:tab/>
        <w:tab/>
        <w:tab/>
        <w:t>Frostproof, FL</w:t>
        <w:tab/>
      </w:r>
    </w:p>
    <w:p>
      <w:pPr>
        <w:pStyle w:val="BodyTextIndent"/>
        <w:ind w:start="0" w:end="0"/>
        <w:rPr>
          <w:b/>
          <w:bCs/>
          <w:sz w:val="20"/>
        </w:rPr>
      </w:pPr>
      <w:r>
        <w:rPr>
          <w:b/>
          <w:bCs/>
          <w:sz w:val="20"/>
        </w:rPr>
      </w:r>
    </w:p>
    <w:p>
      <w:pPr>
        <w:pStyle w:val="BodyTextIndent"/>
        <w:ind w:start="0" w:end="0"/>
        <w:rPr>
          <w:b/>
          <w:bCs/>
          <w:sz w:val="20"/>
        </w:rPr>
      </w:pPr>
      <w:r>
        <w:rPr>
          <w:b/>
          <w:bCs/>
          <w:sz w:val="20"/>
        </w:rPr>
        <w:t>Education</w:t>
        <w:tab/>
        <w:tab/>
      </w:r>
    </w:p>
    <w:p>
      <w:pPr>
        <w:pStyle w:val="BodyTextIndent"/>
        <w:ind w:start="0" w:end="0"/>
        <w:rPr>
          <w:sz w:val="20"/>
        </w:rPr>
      </w:pPr>
      <w:r>
        <w:rPr>
          <w:sz w:val="20"/>
        </w:rPr>
        <w:t>12/90</w:t>
        <w:tab/>
        <w:tab/>
        <w:t>University of Florida, B.S. Business Administration, Finance</w:t>
      </w:r>
    </w:p>
    <w:p>
      <w:pPr>
        <w:pStyle w:val="Normal"/>
        <w:rPr>
          <w:sz w:val="20"/>
        </w:rPr>
      </w:pPr>
      <w:r>
        <w:rPr>
          <w:sz w:val="20"/>
        </w:rPr>
        <w:t>11/98</w:t>
        <w:tab/>
        <w:tab/>
        <w:t>University of Pennsylvania, Wharton School of Business, Executive Education</w:t>
      </w:r>
    </w:p>
    <w:p>
      <w:pPr>
        <w:pStyle w:val="Normal"/>
        <w:rPr>
          <w:sz w:val="20"/>
        </w:rPr>
      </w:pPr>
      <w:r>
        <w:rPr>
          <w:sz w:val="20"/>
        </w:rPr>
      </w:r>
    </w:p>
    <w:p>
      <w:pPr>
        <w:pStyle w:val="Normal"/>
        <w:rPr/>
      </w:pPr>
      <w:r>
        <w:rPr>
          <w:b/>
          <w:bCs/>
          <w:sz w:val="20"/>
        </w:rPr>
        <w:t>Interests</w:t>
      </w:r>
      <w:r>
        <w:rPr>
          <w:sz w:val="20"/>
        </w:rPr>
        <w:tab/>
        <w:t>Running, reading, outdoor activities, college football</w:t>
      </w:r>
    </w:p>
    <w:p>
      <w:pPr>
        <w:pStyle w:val="Normal"/>
        <w:rPr>
          <w:sz w:val="20"/>
        </w:rPr>
      </w:pPr>
      <w:r>
        <w:rPr>
          <w:sz w:val="20"/>
        </w:rPr>
      </w:r>
    </w:p>
    <w:p>
      <w:pPr>
        <w:pStyle w:val="Normal"/>
        <w:rPr>
          <w:sz w:val="20"/>
        </w:rPr>
      </w:pPr>
      <w:r>
        <w:rPr>
          <w:sz w:val="20"/>
        </w:rPr>
      </w:r>
    </w:p>
    <w:p>
      <w:pPr>
        <w:pStyle w:val="Normal"/>
        <w:rPr>
          <w:sz w:val="20"/>
        </w:rPr>
      </w:pPr>
      <w:r>
        <w:rPr>
          <w:sz w:val="20"/>
        </w:rPr>
      </w:r>
    </w:p>
    <w:sectPr>
      <w:type w:val="nextPage"/>
      <w:pgSz w:w="12240" w:h="15840"/>
      <w:pgMar w:left="180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b/>
      <w:bCs/>
    </w:rPr>
  </w:style>
  <w:style w:type="paragraph" w:styleId="Heading2">
    <w:name w:val="heading 2"/>
    <w:basedOn w:val="Normal"/>
    <w:next w:val="Normal"/>
    <w:qFormat/>
    <w:pPr>
      <w:keepNext w:val="true"/>
      <w:numPr>
        <w:ilvl w:val="1"/>
        <w:numId w:val="1"/>
      </w:numPr>
      <w:ind w:firstLine="720" w:start="720" w:end="0"/>
      <w:outlineLvl w:val="1"/>
    </w:pPr>
    <w:rPr>
      <w:i/>
      <w:iCs/>
      <w:sz w:val="20"/>
    </w:rPr>
  </w:style>
  <w:style w:type="paragraph" w:styleId="Heading3">
    <w:name w:val="heading 3"/>
    <w:basedOn w:val="Normal"/>
    <w:next w:val="Normal"/>
    <w:qFormat/>
    <w:pPr>
      <w:keepNext w:val="true"/>
      <w:numPr>
        <w:ilvl w:val="2"/>
        <w:numId w:val="1"/>
      </w:numPr>
      <w:ind w:firstLine="720" w:start="720" w:end="0"/>
      <w:jc w:val="both"/>
      <w:outlineLvl w:val="2"/>
    </w:pPr>
    <w:rPr>
      <w:i/>
      <w:iCs/>
      <w:sz w:val="20"/>
    </w:rPr>
  </w:style>
  <w:style w:type="character" w:styleId="DefaultParagraphFont">
    <w:name w:val="Default Paragraph Font"/>
    <w:qFormat/>
    <w:rPr/>
  </w:style>
  <w:style w:type="paragraph" w:styleId="Heading">
    <w:name w:val="Heading"/>
    <w:basedOn w:val="Normal"/>
    <w:next w:val="BodyText"/>
    <w:qFormat/>
    <w:pPr>
      <w:ind w:hanging="0" w:start="-720" w:end="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440" w:end="0"/>
      <w:jc w:val="both"/>
    </w:pPr>
    <w:rPr/>
  </w:style>
  <w:style w:type="paragraph" w:styleId="BodyTextIndent3">
    <w:name w:val="Body Text Indent 3"/>
    <w:basedOn w:val="Normal"/>
    <w:qFormat/>
    <w:pPr>
      <w:ind w:hanging="0" w:start="1440" w:end="0"/>
      <w:jc w:val="both"/>
    </w:pPr>
    <w:rPr>
      <w:sz w:val="22"/>
    </w:rPr>
  </w:style>
  <w:style w:type="paragraph" w:styleId="BlockText">
    <w:name w:val="Block Text"/>
    <w:basedOn w:val="Normal"/>
    <w:qFormat/>
    <w:pPr>
      <w:ind w:hanging="0" w:start="1440" w:end="720"/>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2001-12-18T13:24:00Z</dcterms:created>
  <dc:creator>bjenkin3</dc:creator>
  <dc:description/>
  <dc:language>en-CA</dc:language>
  <cp:lastModifiedBy>bjenkin3</cp:lastModifiedBy>
  <cp:lastPrinted>2001-12-18T09:42:00Z</cp:lastPrinted>
  <dcterms:modified xsi:type="dcterms:W3CDTF">2001-12-18T13:24:00Z</dcterms:modified>
  <cp:revision>2</cp:revision>
  <dc:subject/>
  <dc:title>C</dc:title>
</cp:coreProperties>
</file>