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Enron Canada Corp.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Product and return to CommodityLogic 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B. its participation in the Beta Test is, itself, confidential and will not be disclosed by CommodityLogic or User, except as provided for in this paragraph 2.B.  User’s identity ______ may or ______ may not [check one]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Program Literature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together with the Electronic Agreements,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ENRON CANADA CORP.</w:t>
      </w:r>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2001-05-02T13:27:00Z</dcterms:created>
  <dc:creator>mgreenbe</dc:creator>
  <dc:description/>
  <dc:language>en-CA</dc:language>
  <cp:lastModifiedBy>mgreenbe</cp:lastModifiedBy>
  <cp:lastPrinted>2001-03-01T13:51:00Z</cp:lastPrinted>
  <dcterms:modified xsi:type="dcterms:W3CDTF">2001-05-02T13:28:00Z</dcterms:modified>
  <cp:revision>3</cp:revision>
  <dc:subject/>
  <dc:title>SAMPLE BETA TEST AGREEMENT</dc:title>
</cp:coreProperties>
</file>