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Distribution Below</w:t>
        <w:tab/>
        <w:tab/>
        <w:tab/>
        <w:tab/>
        <w:tab/>
        <w:tab/>
        <w:tab/>
        <w:t>January 14, 2000</w:t>
      </w:r>
    </w:p>
    <w:p>
      <w:pPr>
        <w:pStyle w:val="Normal"/>
        <w:rPr/>
      </w:pPr>
      <w:r>
        <w:rPr/>
      </w:r>
    </w:p>
    <w:p>
      <w:pPr>
        <w:pStyle w:val="Normal"/>
        <w:rPr/>
      </w:pPr>
      <w:r>
        <w:rPr/>
        <w:t>From:  Patrick Mackin</w:t>
      </w:r>
    </w:p>
    <w:p>
      <w:pPr>
        <w:pStyle w:val="Normal"/>
        <w:rPr/>
      </w:pPr>
      <w:r>
        <w:rPr/>
      </w:r>
    </w:p>
    <w:p>
      <w:pPr>
        <w:pStyle w:val="Normal"/>
        <w:tabs>
          <w:tab w:val="clear" w:pos="720"/>
          <w:tab w:val="left" w:pos="900" w:leader="none"/>
        </w:tabs>
        <w:rPr/>
      </w:pPr>
      <w:r>
        <w:rPr/>
        <w:t xml:space="preserve">Subject:  Model EECC Independent Contractor Agreements </w:t>
      </w:r>
    </w:p>
    <w:p>
      <w:pPr>
        <w:pStyle w:val="Normal"/>
        <w:tabs>
          <w:tab w:val="clear" w:pos="720"/>
          <w:tab w:val="left" w:pos="900" w:leader="none"/>
        </w:tabs>
        <w:rPr/>
      </w:pPr>
      <w:r>
        <w:rPr/>
        <w:tab/>
        <w:t>and Proposed Waiver Provision</w:t>
      </w:r>
    </w:p>
    <w:p>
      <w:pPr>
        <w:pStyle w:val="Normal"/>
        <w:tabs>
          <w:tab w:val="clear" w:pos="720"/>
          <w:tab w:val="left" w:pos="900" w:leader="none"/>
        </w:tabs>
        <w:rPr/>
      </w:pPr>
      <w:r>
        <w:rPr/>
      </w:r>
    </w:p>
    <w:p>
      <w:pPr>
        <w:pStyle w:val="Normal"/>
        <w:rPr/>
      </w:pPr>
      <w:r>
        <w:rPr/>
      </w:r>
    </w:p>
    <w:p>
      <w:pPr>
        <w:pStyle w:val="Normal"/>
        <w:rPr/>
      </w:pPr>
      <w:r>
        <w:rPr/>
        <w:t>I have reviewed the proposed provision of waiver of employee benefits by a contractor / consultant submitted by Carlos Sole and revised by Rita Bahner.</w:t>
      </w:r>
    </w:p>
    <w:p>
      <w:pPr>
        <w:pStyle w:val="Normal"/>
        <w:rPr/>
      </w:pPr>
      <w:r>
        <w:rPr/>
      </w:r>
    </w:p>
    <w:p>
      <w:pPr>
        <w:pStyle w:val="Normal"/>
        <w:rPr/>
      </w:pPr>
      <w:r>
        <w:rPr/>
        <w:t xml:space="preserve">Before adding my comments, I toured the case law which created this issue, in particular the Microsoft opinion and the Laniok opinion cited in Microsoft.  Analysis of these cases are included as exhibits to this memo.  </w:t>
      </w:r>
    </w:p>
    <w:p>
      <w:pPr>
        <w:pStyle w:val="Normal"/>
        <w:rPr/>
      </w:pPr>
      <w:r>
        <w:rPr/>
      </w:r>
    </w:p>
    <w:p>
      <w:pPr>
        <w:pStyle w:val="Normal"/>
        <w:rPr/>
      </w:pPr>
      <w:r>
        <w:rPr/>
        <w:t>From a review of the cases, it is not necessary for an individual to be an independent contractor to waive employee benefits or participation in employee benefit plans or programs.  An employee may effectively enter into such a binding waiver agreement.  I am concerned that premising the waiver on the individual’s status of a consultant or independent contractor may invite a court to needlessly review whether the waiver was based on a mistake or misrepresentation of fact or that the waiver was uninformed.  There are wiggle words in the provision that has been previously submitted for review, but why trod that trail when it is not necessary?</w:t>
      </w:r>
    </w:p>
    <w:p>
      <w:pPr>
        <w:pStyle w:val="Normal"/>
        <w:rPr/>
      </w:pPr>
      <w:r>
        <w:rPr/>
      </w:r>
    </w:p>
    <w:p>
      <w:pPr>
        <w:pStyle w:val="Normal"/>
        <w:rPr/>
      </w:pPr>
      <w:r>
        <w:rPr/>
        <w:t>Accordingly, the following revised provision of waiver is offered for your consideration:</w:t>
      </w:r>
    </w:p>
    <w:p>
      <w:pPr>
        <w:pStyle w:val="Normal"/>
        <w:rPr/>
      </w:pPr>
      <w:r>
        <w:rPr/>
      </w:r>
    </w:p>
    <w:p>
      <w:pPr>
        <w:pStyle w:val="BodyText"/>
        <w:widowControl/>
        <w:ind w:start="720" w:end="0"/>
        <w:jc w:val="both"/>
        <w:rPr>
          <w:sz w:val="24"/>
          <w:szCs w:val="24"/>
        </w:rPr>
      </w:pPr>
      <w:r>
        <w:rPr>
          <w:sz w:val="24"/>
          <w:szCs w:val="24"/>
        </w:rPr>
        <w:t>_.  Waiver of Benefits.</w:t>
      </w:r>
    </w:p>
    <w:p>
      <w:pPr>
        <w:pStyle w:val="BodyText"/>
        <w:widowControl/>
        <w:ind w:firstLine="720" w:start="720" w:end="0"/>
        <w:jc w:val="both"/>
        <w:rPr>
          <w:sz w:val="24"/>
          <w:szCs w:val="24"/>
        </w:rPr>
      </w:pPr>
      <w:r>
        <w:rPr>
          <w:sz w:val="24"/>
          <w:szCs w:val="24"/>
        </w:rPr>
        <w:t>_.1  Consultant shall not be entitled to receive any benefits provided by the Company to its employees or participate in any compensation or remuneration programs for employees of the Company, including, but not limited to, any stock purchase, stock option or award, retirement, savings, pension, profit sharing, bonus, deferred compensation, incentive compensation, severance or termination pay, hospitalization or other medical or dental, disability, life or other insurance, supplemental or unemployment benefits plan or agreement or policy or other arrangement providing employment-related compensation or benefits, including, without limitation, any “employee benefit plan” as defined in Section 3(3) of the Employee Retirement Income Security Act of 1974, as amended (such benefits and programs referred to herein as “Employee Benefits”).</w:t>
      </w:r>
    </w:p>
    <w:p>
      <w:pPr>
        <w:pStyle w:val="BodyText"/>
        <w:widowControl/>
        <w:ind w:firstLine="720" w:start="720" w:end="0"/>
        <w:jc w:val="both"/>
        <w:rPr>
          <w:sz w:val="24"/>
          <w:szCs w:val="24"/>
        </w:rPr>
      </w:pPr>
      <w:r>
        <w:rPr>
          <w:sz w:val="24"/>
          <w:szCs w:val="24"/>
        </w:rPr>
        <w:t>_.2  Consultant agrees that the cash remuneration paid to Consultant under the Agreement shall be Consultant’s the entire and sole compensation for services performed by Consultant hereunder, and that Consultant has negotiated the amount of such cash remuneration based on this understanding and in consideration of Consultant’s waiver in this Section __.</w:t>
      </w:r>
    </w:p>
    <w:p>
      <w:pPr>
        <w:pStyle w:val="BodyText"/>
        <w:widowControl/>
        <w:ind w:firstLine="720" w:start="720" w:end="0"/>
        <w:jc w:val="both"/>
        <w:rPr>
          <w:sz w:val="24"/>
          <w:szCs w:val="24"/>
        </w:rPr>
      </w:pPr>
      <w:r>
        <w:rPr>
          <w:sz w:val="24"/>
          <w:szCs w:val="24"/>
        </w:rPr>
        <w:t xml:space="preserve">_.3  Consultant hereby knowingly, voluntarily and irrevocably waives and renounces any and all rights, entitlements and claims to all such Employee Benefits, whether arising under statute, common law, equity or otherwise.  </w:t>
      </w:r>
    </w:p>
    <w:p>
      <w:pPr>
        <w:pStyle w:val="BodyText"/>
        <w:widowControl/>
        <w:ind w:firstLine="720" w:start="720" w:end="0"/>
        <w:jc w:val="both"/>
        <w:rPr>
          <w:sz w:val="24"/>
          <w:szCs w:val="24"/>
        </w:rPr>
      </w:pPr>
      <w:r>
        <w:rPr>
          <w:sz w:val="24"/>
          <w:szCs w:val="24"/>
        </w:rPr>
        <w:t>_.4  Consultant’s exclusion, ineligibility and nonparticipation in the Company benefits will be applicable both retroactively and prospectively even though there may be a later judicial, regulatory or administrative finding or determination that Consultant is or at any time was a common law employee of the Company.</w:t>
      </w:r>
    </w:p>
    <w:p>
      <w:pPr>
        <w:pStyle w:val="Normal"/>
        <w:tabs>
          <w:tab w:val="clear" w:pos="720"/>
          <w:tab w:val="left" w:pos="-720" w:leader="none"/>
        </w:tabs>
        <w:suppressAutoHyphens w:val="true"/>
        <w:ind w:start="720" w:end="0"/>
        <w:jc w:val="both"/>
        <w:rPr>
          <w:spacing w:val="-2"/>
        </w:rPr>
      </w:pPr>
      <w:r>
        <w:rPr>
          <w:spacing w:val="-2"/>
        </w:rPr>
        <w:tab/>
        <w:t>_.5  Consultant acknowledges that Consultant understands the effect of these provisions and that the Company would not enter into this Agreement but for their inclusion herein and their enforceability.  Consultant confirms that Consultant was encouraged by the Company to seek legal advise concerning these waiver provisions and that Consultant has had a reasonable time and opportunity to seek counsel from and consult with Consultant’s legal, financial and other advisors before signing this Agreement.</w:t>
      </w:r>
    </w:p>
    <w:p>
      <w:pPr>
        <w:pStyle w:val="Normal"/>
        <w:rPr>
          <w:spacing w:val="-2"/>
        </w:rPr>
      </w:pPr>
      <w:r>
        <w:rPr>
          <w:spacing w:val="-2"/>
        </w:rPr>
      </w:r>
    </w:p>
    <w:p>
      <w:pPr>
        <w:pStyle w:val="Normal"/>
        <w:rPr/>
      </w:pPr>
      <w:r>
        <w:rPr/>
      </w:r>
    </w:p>
    <w:p>
      <w:pPr>
        <w:pStyle w:val="Normal"/>
        <w:rPr/>
      </w:pPr>
      <w:r>
        <w:rPr/>
        <w:t>Regards,</w:t>
      </w:r>
    </w:p>
    <w:p>
      <w:pPr>
        <w:pStyle w:val="Normal"/>
        <w:rPr/>
      </w:pPr>
      <w:r>
        <w:rPr/>
      </w:r>
    </w:p>
    <w:p>
      <w:pPr>
        <w:pStyle w:val="Normal"/>
        <w:rPr/>
      </w:pPr>
      <w:r>
        <w:rPr/>
      </w:r>
    </w:p>
    <w:p>
      <w:pPr>
        <w:pStyle w:val="Normal"/>
        <w:rPr/>
      </w:pPr>
      <w:r>
        <w:rPr/>
        <w:t>Pat</w:t>
      </w:r>
    </w:p>
    <w:p>
      <w:pPr>
        <w:pStyle w:val="Normal"/>
        <w:rPr/>
      </w:pPr>
      <w:r>
        <w:rPr/>
      </w:r>
    </w:p>
    <w:p>
      <w:pPr>
        <w:pStyle w:val="Normal"/>
        <w:rPr/>
      </w:pPr>
      <w:r>
        <w:rPr/>
        <w:t>Distribution: Carlos Sole, Sharon Butcher, Bob Vote and Rita Bahner</w:t>
      </w:r>
    </w:p>
    <w:p>
      <w:pPr>
        <w:pStyle w:val="Normal"/>
        <w:rPr/>
      </w:pPr>
      <w:r>
        <w:rPr/>
      </w:r>
      <w:r>
        <w:br w:type="page"/>
      </w:r>
    </w:p>
    <w:p>
      <w:pPr>
        <w:pStyle w:val="Normal"/>
        <w:rPr/>
      </w:pPr>
      <w:r>
        <w:rPr/>
      </w:r>
    </w:p>
    <w:p>
      <w:pPr>
        <w:pStyle w:val="Normal"/>
        <w:rPr/>
      </w:pPr>
      <w:r>
        <w:rPr/>
        <w:t>Exhibit A</w:t>
      </w:r>
    </w:p>
    <w:p>
      <w:pPr>
        <w:pStyle w:val="Normal"/>
        <w:rPr/>
      </w:pPr>
      <w:r>
        <w:rPr/>
        <w:t>VIZCAINO v. MICROSOFT CORP., 21 EBC 1273 (CA 9 1997)</w:t>
      </w:r>
    </w:p>
    <w:p>
      <w:pPr>
        <w:pStyle w:val="Normal"/>
        <w:rPr/>
      </w:pPr>
      <w:r>
        <w:rPr/>
        <w:t>Excerpt</w:t>
      </w:r>
    </w:p>
    <w:p>
      <w:pPr>
        <w:pStyle w:val="Normal"/>
        <w:rPr/>
      </w:pPr>
      <w:r>
        <w:rPr/>
      </w:r>
    </w:p>
    <w:p>
      <w:pPr>
        <w:pStyle w:val="Normal"/>
        <w:rPr/>
      </w:pPr>
      <w:r>
        <w:rPr/>
      </w:r>
    </w:p>
    <w:p>
      <w:pPr>
        <w:pStyle w:val="Normal"/>
        <w:rPr/>
      </w:pPr>
      <w:r>
        <w:rPr/>
      </w:r>
    </w:p>
    <w:p>
      <w:pPr>
        <w:pStyle w:val="Normal"/>
        <w:rPr/>
      </w:pPr>
      <w:r>
        <w:rPr/>
        <w:t>One additional matter must detain us for a moment. It could, perhaps, be argued that the statements about benefits, unlike statements about withholding, stand on their own footing as a waiver of benefits, regardless of the Workers' true status as employees. As we have said, we think that would be an incorrect interpretation of these agreements, and Microsoft assured us at argument that this is not a waiver case. Were it one, we would have to consider whether the waivers based, as they would have been, on the mistaken premise of independent contractor status were knowing and voluntary under ERISA and Washington law. See, e.g., Laniok v. Advisory Comm., 935 F.2d 1360, 1367 [13 EBC 2377] (2d Cir. 1991)</w:t>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Normal"/>
        <w:rPr/>
      </w:pPr>
      <w:r>
        <w:rPr/>
        <w:t>Exhibit B</w:t>
      </w:r>
    </w:p>
    <w:p>
      <w:pPr>
        <w:pStyle w:val="Normal"/>
        <w:rPr/>
      </w:pPr>
      <w:r>
        <w:rPr/>
        <w:t>Casenotes</w:t>
      </w:r>
    </w:p>
    <w:p>
      <w:pPr>
        <w:pStyle w:val="Normal"/>
        <w:rPr/>
      </w:pPr>
      <w:r>
        <w:rPr/>
      </w:r>
    </w:p>
    <w:p>
      <w:pPr>
        <w:pStyle w:val="Normal"/>
        <w:rPr/>
      </w:pPr>
      <w:r>
        <w:rPr/>
      </w:r>
    </w:p>
    <w:p>
      <w:pPr>
        <w:pStyle w:val="H3"/>
        <w:ind w:start="360" w:end="360"/>
        <w:rPr/>
      </w:pPr>
      <w:r>
        <w:rPr/>
        <w:t xml:space="preserve">Standing of former employees who waived plan participation. </w:t>
      </w:r>
    </w:p>
    <w:p>
      <w:pPr>
        <w:pStyle w:val="Blockquote"/>
        <w:rPr/>
      </w:pPr>
      <w:r>
        <w:rPr/>
        <w:t xml:space="preserve">A former employee who has </w:t>
      </w:r>
      <w:r>
        <w:rPr>
          <w:rStyle w:val="Emphasis"/>
        </w:rPr>
        <w:t>waived</w:t>
      </w:r>
      <w:r>
        <w:rPr/>
        <w:t xml:space="preserve"> participation in the employer's plan may have no colorable claim to plan benefits, and thus, no standing to bring an ERISA suit, see </w:t>
      </w:r>
      <w:r>
        <w:fldChar w:fldCharType="begin"/>
      </w:r>
      <w:r>
        <w:rPr>
          <w:b/>
          <w:bCs/>
        </w:rPr>
        <w:instrText xml:space="preserve">HYPERLINK "./frame?tmpl=1&amp;url=getdoc%3Feid%3DPENANA:18035.25%26from%3D2%26hits%3D1%26option%3D1%26tab%3D2%23&amp;url=toolbar%3Ftmpl%3D1%26eid%3DPENANA:18035.25%26from%3D2%26hits%3D1%26tab%3D2%26option%3D1"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 However, some courts allow standing to a former employee who </w:t>
      </w:r>
      <w:r>
        <w:rPr>
          <w:rStyle w:val="Emphasis"/>
        </w:rPr>
        <w:t xml:space="preserve">would have been </w:t>
      </w:r>
      <w:r>
        <w:rPr/>
        <w:t xml:space="preserve">a participant but for improper conduct by a fiduciary. </w:t>
      </w:r>
    </w:p>
    <w:p>
      <w:pPr>
        <w:pStyle w:val="Blockquote"/>
        <w:rPr/>
      </w:pPr>
      <w:r>
        <w:rPr/>
        <w:t>The Ninth Circuit denied standing to a former employee on whose behalf no plan contributions had been made, even though it was claimed that his nonparticipation was induced by fraud.</w:t>
      </w:r>
      <w:r>
        <w:rPr>
          <w:vertAlign w:val="superscript"/>
        </w:rPr>
        <w:t xml:space="preserve"> </w:t>
      </w:r>
      <w:r>
        <w:fldChar w:fldCharType="begin"/>
      </w:r>
      <w:r>
        <w:rPr>
          <w:vertAlign w:val="superscript"/>
          <w:b/>
          <w:bCs/>
        </w:rPr>
        <w:instrText xml:space="preserve">HYPERLINK  \l "FN 42"</w:instrText>
      </w:r>
      <w:r>
        <w:rPr>
          <w:b/>
          <w:bCs/>
          <w:vertAlign w:val="superscript"/>
        </w:rPr>
      </w:r>
      <w:r>
        <w:rPr>
          <w:vertAlign w:val="superscript"/>
          <w:b/>
          <w:bCs/>
        </w:rPr>
        <w:fldChar w:fldCharType="separate"/>
      </w:r>
      <w:r>
        <w:rPr>
          <w:b/>
          <w:bCs/>
          <w:vertAlign w:val="superscript"/>
        </w:rPr>
        <w:t>Error! Bookmark not defined.</w:t>
      </w:r>
      <w:r>
        <w:rPr>
          <w:b/>
          <w:bCs/>
          <w:vertAlign w:val="superscript"/>
        </w:rPr>
      </w:r>
      <w:r>
        <w:rPr>
          <w:vertAlign w:val="superscript"/>
          <w:b/>
          <w:bCs/>
        </w:rPr>
        <w:fldChar w:fldCharType="end"/>
      </w:r>
      <w:r>
        <w:rPr/>
        <w:t xml:space="preserve"> </w:t>
      </w:r>
    </w:p>
    <w:p>
      <w:pPr>
        <w:pStyle w:val="Blockquote"/>
        <w:rPr/>
      </w:pPr>
      <w:r>
        <w:fldChar w:fldCharType="begin"/>
      </w:r>
      <w:r>
        <w:rPr>
          <w:vertAlign w:val="superscript"/>
          <w:b/>
          <w:bCs/>
        </w:rPr>
        <w:instrText xml:space="preserve">HYPERLINK  \l "SRC 42"</w:instrText>
      </w:r>
      <w:r>
        <w:rPr>
          <w:b/>
          <w:bCs/>
          <w:vertAlign w:val="superscript"/>
        </w:rPr>
      </w:r>
      <w:r>
        <w:rPr>
          <w:vertAlign w:val="superscript"/>
          <w:b/>
          <w:bCs/>
        </w:rPr>
        <w:fldChar w:fldCharType="separate"/>
      </w:r>
      <w:r>
        <w:rPr>
          <w:b/>
          <w:bCs/>
          <w:vertAlign w:val="superscript"/>
        </w:rPr>
        <w:t>Error! Bookmark not defined.</w:t>
      </w:r>
      <w:r>
        <w:rPr>
          <w:b/>
          <w:bCs/>
          <w:vertAlign w:val="superscript"/>
        </w:rPr>
      </w:r>
      <w:r>
        <w:rPr>
          <w:vertAlign w:val="superscript"/>
          <w:b/>
          <w:bCs/>
        </w:rPr>
        <w:fldChar w:fldCharType="end"/>
      </w:r>
      <w:r>
        <w:rPr/>
        <w:t xml:space="preserve"> Freeman v. Jacques Orthropaedic &amp; Joint Implant Surgery Medical Group Inc, (1983, CA9) </w:t>
      </w:r>
      <w:r>
        <w:fldChar w:fldCharType="begin"/>
      </w:r>
      <w:r>
        <w:rPr>
          <w:b/>
          <w:bCs/>
        </w:rPr>
        <w:instrText xml:space="preserve">HYPERLINK "./frame?tmpl=1&amp;url=getdoc%3Feid%3DNTCASE22:11487.9%26from%3D2%26hits%3D1%26option%3D1%26tab%3D2%23&amp;url=toolbar%3Ftmpl%3D1%26eid%3DNTCASE22:11487.9%26from%3D2%26hits%3D1%26tab%3D2%26option%3D1"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 </w:t>
      </w:r>
    </w:p>
    <w:p>
      <w:pPr>
        <w:pStyle w:val="Blockquote"/>
        <w:rPr/>
      </w:pPr>
      <w:r>
        <w:rPr/>
        <w:t>A district court in the Third Circuit denied standing to an employee to recover pension benefits previously waived in a series of employment agreements with the employer over a number of years, notwithstanding the possibility that the waiver of benefits was the result of the employee's ongoing reliance on a misrepresentation by the employer's representative of the availability of tax-deferred annuity benefits. The waivers were obtained by the employer in a nonfiduciary capacity through arm's-length bargaining, and the employee had ample opportunity to review the various agreements with tax counsel.</w:t>
      </w:r>
      <w:r>
        <w:rPr>
          <w:vertAlign w:val="superscript"/>
        </w:rPr>
        <w:t xml:space="preserve"> </w:t>
      </w:r>
      <w:r>
        <w:fldChar w:fldCharType="begin"/>
      </w:r>
      <w:r>
        <w:rPr>
          <w:vertAlign w:val="superscript"/>
          <w:b/>
          <w:bCs/>
        </w:rPr>
        <w:instrText xml:space="preserve">HYPERLINK  \l "FN 43"</w:instrText>
      </w:r>
      <w:r>
        <w:rPr>
          <w:b/>
          <w:bCs/>
          <w:vertAlign w:val="superscript"/>
        </w:rPr>
      </w:r>
      <w:r>
        <w:rPr>
          <w:vertAlign w:val="superscript"/>
          <w:b/>
          <w:bCs/>
        </w:rPr>
        <w:fldChar w:fldCharType="separate"/>
      </w:r>
      <w:r>
        <w:rPr>
          <w:b/>
          <w:bCs/>
          <w:vertAlign w:val="superscript"/>
        </w:rPr>
        <w:t>Error! Bookmark not defined.</w:t>
      </w:r>
      <w:r>
        <w:rPr>
          <w:b/>
          <w:bCs/>
          <w:vertAlign w:val="superscript"/>
        </w:rPr>
      </w:r>
      <w:r>
        <w:rPr>
          <w:vertAlign w:val="superscript"/>
          <w:b/>
          <w:bCs/>
        </w:rPr>
        <w:fldChar w:fldCharType="end"/>
      </w:r>
      <w:r>
        <w:rPr/>
        <w:t xml:space="preserve"> </w:t>
      </w:r>
    </w:p>
    <w:p>
      <w:pPr>
        <w:pStyle w:val="Blockquote"/>
        <w:rPr/>
      </w:pPr>
      <w:r>
        <w:fldChar w:fldCharType="begin"/>
      </w:r>
      <w:r>
        <w:rPr>
          <w:vertAlign w:val="superscript"/>
          <w:b/>
          <w:bCs/>
        </w:rPr>
        <w:instrText xml:space="preserve">HYPERLINK  \l "SRC 43"</w:instrText>
      </w:r>
      <w:r>
        <w:rPr>
          <w:b/>
          <w:bCs/>
          <w:vertAlign w:val="superscript"/>
        </w:rPr>
      </w:r>
      <w:r>
        <w:rPr>
          <w:vertAlign w:val="superscript"/>
          <w:b/>
          <w:bCs/>
        </w:rPr>
        <w:fldChar w:fldCharType="separate"/>
      </w:r>
      <w:r>
        <w:rPr>
          <w:b/>
          <w:bCs/>
          <w:vertAlign w:val="superscript"/>
        </w:rPr>
        <w:t>Error! Bookmark not defined.</w:t>
      </w:r>
      <w:r>
        <w:rPr>
          <w:b/>
          <w:bCs/>
          <w:vertAlign w:val="superscript"/>
        </w:rPr>
      </w:r>
      <w:r>
        <w:rPr>
          <w:vertAlign w:val="superscript"/>
          <w:b/>
          <w:bCs/>
        </w:rPr>
        <w:fldChar w:fldCharType="end"/>
      </w:r>
      <w:r>
        <w:rPr/>
        <w:t xml:space="preserve"> Gaynor v. Ephrata Community Hospital, (1988, DC PA) </w:t>
      </w:r>
      <w:r>
        <w:fldChar w:fldCharType="begin"/>
      </w:r>
      <w:r>
        <w:rPr>
          <w:b/>
          <w:bCs/>
        </w:rPr>
        <w:instrText xml:space="preserve">HYPERLINK "./frame?tmpl=1&amp;url=getdoc%3Feid%3DNTCASE22:4083.20%26from%3D2%26hits%3D1%26option%3D1%26tab%3D2%23&amp;url=toolbar%3Ftmpl%3D1%26eid%3DNTCASE22:4083.20%26from%3D2%26hits%3D1%26tab%3D2%26option%3D1"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 </w:t>
      </w:r>
    </w:p>
    <w:p>
      <w:pPr>
        <w:pStyle w:val="Blockquote"/>
        <w:rPr/>
      </w:pPr>
      <w:r>
        <w:rPr/>
        <w:t>But the Second Circuit said that a former employee who didn't participate in his employer's pension plan after having signed a waiver when he was hired, had a “colorable claim” for benefits, and thus standing, to claim that the waiver was not knowing and voluntary.</w:t>
      </w:r>
      <w:r>
        <w:rPr>
          <w:vertAlign w:val="superscript"/>
        </w:rPr>
        <w:t xml:space="preserve"> </w:t>
      </w:r>
      <w:r>
        <w:fldChar w:fldCharType="begin"/>
      </w:r>
      <w:r>
        <w:rPr>
          <w:vertAlign w:val="superscript"/>
          <w:b/>
          <w:bCs/>
        </w:rPr>
        <w:instrText xml:space="preserve">HYPERLINK  \l "FN 44"</w:instrText>
      </w:r>
      <w:r>
        <w:rPr>
          <w:b/>
          <w:bCs/>
          <w:vertAlign w:val="superscript"/>
        </w:rPr>
      </w:r>
      <w:r>
        <w:rPr>
          <w:vertAlign w:val="superscript"/>
          <w:b/>
          <w:bCs/>
        </w:rPr>
        <w:fldChar w:fldCharType="separate"/>
      </w:r>
      <w:r>
        <w:rPr>
          <w:b/>
          <w:bCs/>
          <w:vertAlign w:val="superscript"/>
        </w:rPr>
        <w:t>Error! Bookmark not defined.</w:t>
      </w:r>
      <w:r>
        <w:rPr>
          <w:b/>
          <w:bCs/>
          <w:vertAlign w:val="superscript"/>
        </w:rPr>
      </w:r>
      <w:r>
        <w:rPr>
          <w:vertAlign w:val="superscript"/>
          <w:b/>
          <w:bCs/>
        </w:rPr>
        <w:fldChar w:fldCharType="end"/>
      </w:r>
      <w:r>
        <w:rPr/>
        <w:t xml:space="preserve"> </w:t>
      </w:r>
    </w:p>
    <w:p>
      <w:pPr>
        <w:pStyle w:val="Blockquote"/>
        <w:rPr/>
      </w:pPr>
      <w:r>
        <w:fldChar w:fldCharType="begin"/>
      </w:r>
      <w:r>
        <w:rPr>
          <w:vertAlign w:val="superscript"/>
          <w:b/>
          <w:bCs/>
        </w:rPr>
        <w:instrText xml:space="preserve">HYPERLINK  \l "SRC 44"</w:instrText>
      </w:r>
      <w:r>
        <w:rPr>
          <w:b/>
          <w:bCs/>
          <w:vertAlign w:val="superscript"/>
        </w:rPr>
      </w:r>
      <w:r>
        <w:rPr>
          <w:vertAlign w:val="superscript"/>
          <w:b/>
          <w:bCs/>
        </w:rPr>
        <w:fldChar w:fldCharType="separate"/>
      </w:r>
      <w:r>
        <w:rPr>
          <w:b/>
          <w:bCs/>
          <w:vertAlign w:val="superscript"/>
        </w:rPr>
        <w:t>Error! Bookmark not defined.</w:t>
      </w:r>
      <w:r>
        <w:rPr>
          <w:b/>
          <w:bCs/>
          <w:vertAlign w:val="superscript"/>
        </w:rPr>
      </w:r>
      <w:r>
        <w:rPr>
          <w:vertAlign w:val="superscript"/>
          <w:b/>
          <w:bCs/>
        </w:rPr>
        <w:fldChar w:fldCharType="end"/>
      </w:r>
      <w:r>
        <w:rPr/>
        <w:t xml:space="preserve"> </w:t>
      </w:r>
      <w:r>
        <w:fldChar w:fldCharType="begin"/>
      </w:r>
      <w:r>
        <w:rPr>
          <w:b/>
          <w:bCs/>
        </w:rPr>
        <w:instrText xml:space="preserve">HYPERLINK  \l "1"</w:instrText>
      </w:r>
      <w:r>
        <w:rPr>
          <w:b/>
          <w:bCs/>
        </w:rPr>
      </w:r>
      <w:r>
        <w:rPr>
          <w:b/>
          <w:bCs/>
        </w:rPr>
        <w:fldChar w:fldCharType="separate"/>
      </w:r>
      <w:r>
        <w:rPr>
          <w:b/>
          <w:bCs/>
        </w:rPr>
        <w:t>Error! Bookmark not defined.</w:t>
      </w:r>
      <w:r>
        <w:rPr>
          <w:b/>
          <w:bCs/>
        </w:rPr>
      </w:r>
      <w:r>
        <w:rPr>
          <w:b/>
          <w:bCs/>
        </w:rPr>
        <w:fldChar w:fldCharType="end"/>
      </w:r>
      <w:r>
        <w:fldChar w:fldCharType="begin"/>
      </w:r>
      <w:r>
        <w:rPr>
          <w:b/>
          <w:bCs/>
        </w:rPr>
        <w:instrText xml:space="preserve">HYPERLINK  \l "1"</w:instrText>
      </w:r>
      <w:r>
        <w:rPr>
          <w:b/>
          <w:bCs/>
        </w:rPr>
      </w:r>
      <w:r>
        <w:rPr>
          <w:b/>
          <w:bCs/>
        </w:rPr>
        <w:fldChar w:fldCharType="separate"/>
      </w:r>
      <w:r>
        <w:rPr>
          <w:b/>
          <w:bCs/>
        </w:rPr>
        <w:t>Error! Bookmark not defined.</w:t>
      </w:r>
      <w:r>
        <w:rPr>
          <w:b/>
          <w:bCs/>
        </w:rPr>
      </w:r>
      <w:r>
        <w:rPr>
          <w:b/>
          <w:bCs/>
        </w:rPr>
        <w:fldChar w:fldCharType="end"/>
      </w:r>
      <w:r>
        <w:rPr>
          <w:color w:val="FF0000"/>
        </w:rPr>
        <w:t>Laniok</w:t>
      </w:r>
      <w:r>
        <w:fldChar w:fldCharType="begin"/>
      </w:r>
      <w:r>
        <w:rPr>
          <w:b/>
          <w:bCs/>
        </w:rPr>
        <w:instrText xml:space="preserve">HYPERLINK  \l "3"</w:instrText>
      </w:r>
      <w:r>
        <w:rPr>
          <w:b/>
          <w:bCs/>
        </w:rPr>
      </w:r>
      <w:r>
        <w:rPr>
          <w:b/>
          <w:bCs/>
        </w:rPr>
        <w:fldChar w:fldCharType="separate"/>
      </w:r>
      <w:r>
        <w:rPr>
          <w:b/>
          <w:bCs/>
        </w:rPr>
        <w:t>Error! Bookmark not defined.</w:t>
      </w:r>
      <w:r>
        <w:rPr>
          <w:b/>
          <w:bCs/>
        </w:rPr>
      </w:r>
      <w:r>
        <w:rPr>
          <w:b/>
          <w:bCs/>
        </w:rPr>
        <w:fldChar w:fldCharType="end"/>
      </w:r>
      <w:r>
        <w:fldChar w:fldCharType="begin"/>
      </w:r>
      <w:r>
        <w:rPr>
          <w:b/>
          <w:bCs/>
        </w:rPr>
        <w:instrText xml:space="preserve">HYPERLINK  \l "3"</w:instrText>
      </w:r>
      <w:r>
        <w:rPr>
          <w:b/>
          <w:bCs/>
        </w:rPr>
      </w:r>
      <w:r>
        <w:rPr>
          <w:b/>
          <w:bCs/>
        </w:rPr>
        <w:fldChar w:fldCharType="separate"/>
      </w:r>
      <w:r>
        <w:rPr>
          <w:b/>
          <w:bCs/>
        </w:rPr>
        <w:t>Error! Bookmark not defined.</w:t>
      </w:r>
      <w:r>
        <w:rPr>
          <w:b/>
          <w:bCs/>
        </w:rPr>
      </w:r>
      <w:r>
        <w:rPr>
          <w:b/>
          <w:bCs/>
        </w:rPr>
        <w:fldChar w:fldCharType="end"/>
      </w:r>
      <w:r>
        <w:rPr/>
        <w:t xml:space="preserve"> v. Advisory Committee of Brainerd Manufacturing Co Pension Plan, (1991, CA2) </w:t>
      </w:r>
      <w:r>
        <w:fldChar w:fldCharType="begin"/>
      </w:r>
      <w:r>
        <w:rPr>
          <w:b/>
          <w:bCs/>
        </w:rPr>
        <w:instrText xml:space="preserve">HYPERLINK "./frame?tmpl=1&amp;url=getdoc%3Feid%3DNTCASE89:24880.1%26from%3D2%26hits%3D1%26option%3D1%26tab%3D2%23&amp;url=toolbar%3Ftmpl%3D1%26eid%3DNTCASE89:24880.1%26from%3D2%26hits%3D1%26tab%3D2%26option%3D1"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 </w:t>
      </w:r>
      <w:r>
        <w:fldChar w:fldCharType="begin"/>
      </w:r>
      <w:r>
        <w:rPr>
          <w:b/>
          <w:bCs/>
        </w:rPr>
        <w:instrText xml:space="preserve">HYPERLINK "./frame?tmpl=1&amp;url=getdoc%3Feid%3DNTCASE89:24880.1%26from%3D2%26hits%3D1%26option%3D1%26tab%3D2%23&amp;url=toolbar%3Ftmpl%3D1%26eid%3DNTCASE89:24880.1%26from%3D2%26hits%3D1%26tab%3D2%26option%3D1"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 </w:t>
      </w:r>
    </w:p>
    <w:p>
      <w:pPr>
        <w:pStyle w:val="Normal"/>
        <w:rPr/>
      </w:pPr>
      <w:r>
        <w:rPr/>
      </w:r>
    </w:p>
    <w:p>
      <w:pPr>
        <w:pStyle w:val="Normal"/>
        <w:rPr/>
      </w:pPr>
      <w:r>
        <w:rPr/>
      </w:r>
    </w:p>
    <w:p>
      <w:pPr>
        <w:pStyle w:val="Normal"/>
        <w:rPr/>
      </w:pPr>
      <w:r>
        <w:rPr/>
      </w:r>
      <w:r>
        <w:br w:type="page"/>
      </w:r>
    </w:p>
    <w:p>
      <w:pPr>
        <w:pStyle w:val="Normal"/>
        <w:rPr/>
      </w:pPr>
      <w:r>
        <w:rPr/>
        <w:t>Exhibit C</w:t>
      </w:r>
    </w:p>
    <w:p>
      <w:pPr>
        <w:pStyle w:val="Normal"/>
        <w:rPr/>
      </w:pPr>
      <w:r>
        <w:rPr>
          <w:color w:val="FF0000"/>
        </w:rPr>
        <w:t>Laniok</w:t>
      </w:r>
      <w:r>
        <w:fldChar w:fldCharType="begin"/>
      </w:r>
      <w:r>
        <w:rPr>
          <w:b/>
          <w:bCs/>
        </w:rPr>
        <w:instrText xml:space="preserve">HYPERLINK  \l "3"</w:instrText>
      </w:r>
      <w:r>
        <w:rPr>
          <w:b/>
          <w:bCs/>
        </w:rPr>
      </w:r>
      <w:r>
        <w:rPr>
          <w:b/>
          <w:bCs/>
        </w:rPr>
        <w:fldChar w:fldCharType="separate"/>
      </w:r>
      <w:r>
        <w:rPr>
          <w:b/>
          <w:bCs/>
        </w:rPr>
        <w:t>Error! Bookmark not defined.</w:t>
      </w:r>
      <w:r>
        <w:rPr>
          <w:b/>
          <w:bCs/>
        </w:rPr>
      </w:r>
      <w:r>
        <w:rPr>
          <w:b/>
          <w:bCs/>
        </w:rPr>
        <w:fldChar w:fldCharType="end"/>
      </w:r>
      <w:r>
        <w:fldChar w:fldCharType="begin"/>
      </w:r>
      <w:r>
        <w:rPr>
          <w:b/>
          <w:bCs/>
        </w:rPr>
        <w:instrText xml:space="preserve">HYPERLINK  \l "3"</w:instrText>
      </w:r>
      <w:r>
        <w:rPr>
          <w:b/>
          <w:bCs/>
        </w:rPr>
      </w:r>
      <w:r>
        <w:rPr>
          <w:b/>
          <w:bCs/>
        </w:rPr>
        <w:fldChar w:fldCharType="separate"/>
      </w:r>
      <w:r>
        <w:rPr>
          <w:b/>
          <w:bCs/>
        </w:rPr>
        <w:t>Error! Bookmark not defined.</w:t>
      </w:r>
      <w:r>
        <w:rPr>
          <w:b/>
          <w:bCs/>
        </w:rPr>
      </w:r>
      <w:r>
        <w:rPr>
          <w:b/>
          <w:bCs/>
        </w:rPr>
        <w:fldChar w:fldCharType="end"/>
      </w:r>
      <w:r>
        <w:rPr/>
        <w:t xml:space="preserve"> v. Advisory Committee of Brainerd Manufacturing Co Pension Plan, (1991, CA2)</w:t>
      </w:r>
    </w:p>
    <w:p>
      <w:pPr>
        <w:pStyle w:val="Normal"/>
        <w:rPr/>
      </w:pPr>
      <w:r>
        <w:rPr/>
        <w:t>Excerpts</w:t>
      </w:r>
    </w:p>
    <w:p>
      <w:pPr>
        <w:pStyle w:val="Normal"/>
        <w:rPr/>
      </w:pPr>
      <w:r>
        <w:rPr/>
      </w:r>
    </w:p>
    <w:p>
      <w:pPr>
        <w:pStyle w:val="Normal"/>
        <w:rPr/>
      </w:pPr>
      <w:r>
        <w:rPr/>
      </w:r>
    </w:p>
    <w:p>
      <w:pPr>
        <w:pStyle w:val="H3"/>
        <w:ind w:start="360" w:end="360"/>
        <w:rPr/>
      </w:pPr>
      <w:r>
        <w:rPr/>
        <w:t xml:space="preserve">Peter J. LANIOK, Plaintiff-Appellant, v. ADVISORY COMMITTEE OF the BRAINERD MANUFACTURING COMPANY PENSION PLAN, Defendant-Appellee., 06/18/1991 </w:t>
      </w:r>
    </w:p>
    <w:p>
      <w:pPr>
        <w:pStyle w:val="Normal"/>
        <w:rPr/>
      </w:pPr>
      <w:r>
        <w:rPr/>
      </w:r>
    </w:p>
    <w:p>
      <w:pPr>
        <w:pStyle w:val="Blockquote"/>
        <w:rPr/>
      </w:pPr>
      <w:r>
        <w:rPr/>
        <w:t xml:space="preserve">Laniok v. Advisory Committee of Brainerd Mfg. Co. Pension Plan </w:t>
      </w:r>
    </w:p>
    <w:p>
      <w:pPr>
        <w:pStyle w:val="Blockquote"/>
        <w:rPr/>
      </w:pPr>
      <w:r>
        <w:rPr>
          <w:rStyle w:val="Strong"/>
        </w:rPr>
        <w:t xml:space="preserve">Docket: </w:t>
      </w:r>
      <w:r>
        <w:rPr/>
        <w:t xml:space="preserve">No. 1357, Docket 90-9089. </w:t>
      </w:r>
    </w:p>
    <w:p>
      <w:pPr>
        <w:pStyle w:val="Blockquote"/>
        <w:rPr/>
      </w:pPr>
      <w:r>
        <w:rPr>
          <w:rStyle w:val="Strong"/>
        </w:rPr>
        <w:t xml:space="preserve">Cite: </w:t>
      </w:r>
      <w:r>
        <w:rPr/>
        <w:t xml:space="preserve">935 F2d 1360, 60 USLW 2024, 13 EBC 2377, 1991 WL 104143 </w:t>
      </w:r>
    </w:p>
    <w:p>
      <w:pPr>
        <w:pStyle w:val="Blockquote"/>
        <w:rPr/>
      </w:pPr>
      <w:r>
        <w:rPr>
          <w:rStyle w:val="Strong"/>
        </w:rPr>
        <w:t xml:space="preserve">Court: </w:t>
      </w:r>
      <w:r>
        <w:rPr/>
        <w:t xml:space="preserve">U.S. Court of Appeals, 2nd Circuit, </w:t>
      </w:r>
    </w:p>
    <w:p>
      <w:pPr>
        <w:pStyle w:val="Normal"/>
        <w:rPr/>
      </w:pPr>
      <w:r>
        <w:rPr>
          <w:rStyle w:val="Strong"/>
        </w:rPr>
        <w:t>Date Argued:</w:t>
      </w:r>
      <w:r>
        <w:rPr/>
        <w:t xml:space="preserve"> 04/15/1991 </w:t>
      </w:r>
    </w:p>
    <w:p>
      <w:pPr>
        <w:pStyle w:val="Normal"/>
        <w:rPr/>
      </w:pPr>
      <w:r>
        <w:rPr>
          <w:rStyle w:val="Strong"/>
        </w:rPr>
        <w:t xml:space="preserve">Date: </w:t>
      </w:r>
      <w:r>
        <w:rPr/>
        <w:t>06/18/1991</w:t>
      </w:r>
    </w:p>
    <w:p>
      <w:pPr>
        <w:pStyle w:val="Normal"/>
        <w:rPr/>
      </w:pPr>
      <w:r>
        <w:rPr/>
      </w:r>
    </w:p>
    <w:p>
      <w:pPr>
        <w:pStyle w:val="Normal"/>
        <w:rPr/>
      </w:pPr>
      <w:r>
        <w:rPr/>
        <w:t>. . . .</w:t>
      </w:r>
    </w:p>
    <w:p>
      <w:pPr>
        <w:pStyle w:val="Normal"/>
        <w:rPr/>
      </w:pPr>
      <w:r>
        <w:rPr/>
      </w:r>
    </w:p>
    <w:p>
      <w:pPr>
        <w:pStyle w:val="Normal"/>
        <w:rPr/>
      </w:pPr>
      <w:r>
        <w:rPr>
          <w:rStyle w:val="Emphasis"/>
        </w:rPr>
        <w:t>Waiver of Right to Participate in ERISA Pension Plan</w:t>
      </w:r>
      <w:r>
        <w:rPr/>
        <w:t xml:space="preserve"> </w:t>
      </w:r>
    </w:p>
    <w:p>
      <w:pPr>
        <w:pStyle w:val="Normal"/>
        <w:rPr>
          <w:rStyle w:val="Strong"/>
        </w:rPr>
      </w:pPr>
      <w:r>
        <w:rPr/>
      </w:r>
    </w:p>
    <w:p>
      <w:pPr>
        <w:pStyle w:val="Normal"/>
        <w:rPr/>
      </w:pPr>
      <w:r>
        <w:rPr>
          <w:rStyle w:val="Strong"/>
        </w:rPr>
        <w:t xml:space="preserve">[2] </w:t>
      </w:r>
      <w:r>
        <w:rPr/>
        <w:t xml:space="preserve">Although ERISA is a “comprehensive and reticulated statute,” </w:t>
      </w:r>
      <w:r>
        <w:rPr>
          <w:rStyle w:val="Emphasis"/>
        </w:rPr>
        <w:t>Nachman Corp. v. Pension Benefit Guaranty Corp.,</w:t>
      </w:r>
      <w:r>
        <w:fldChar w:fldCharType="begin"/>
      </w:r>
      <w:r>
        <w:rPr>
          <w:b/>
          <w:bCs/>
        </w:rPr>
        <w:instrText xml:space="preserve">HYPERLINK "./frame?tmpl=1&amp;url=getdoc%3Feid%3DNTCASE22:9277.25%26from%3D2%26hits%3D1%26option%3D1%26tab%3D2%23&amp;url=toolbar%3Ftmpl%3D1%26eid%3DNTCASE22:9277.25%26from%3D2%26hits%3D1%26tab%3D2%26option%3D1"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 , </w:t>
      </w:r>
      <w:r>
        <w:fldChar w:fldCharType="begin"/>
      </w:r>
      <w:r>
        <w:rPr>
          <w:b/>
          <w:bCs/>
        </w:rPr>
        <w:instrText xml:space="preserve">HYPERLINK "./frame?tmpl=1&amp;url=getdoc%3Feid%3DNTCASE22:9277.25%26from%3D2%26hits%3D1%26option%3D1%26tab%3D2%23&amp;url=toolbar%3Ftmpl%3D1%26eid%3DNTCASE22:9277.25%26from%3D2%26hits%3D1%26tab%3D2%26option%3D1"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 </w:t>
      </w:r>
      <w:r>
        <w:fldChar w:fldCharType="begin"/>
      </w:r>
      <w:r>
        <w:rPr>
          <w:b/>
          <w:bCs/>
        </w:rPr>
        <w:instrText xml:space="preserve">HYPERLINK "./frame?tmpl=1&amp;url=getdoc%3Feid%3DNTCASE22:9277.25%26from%3D2%26hits%3D1%26option%3D1%26tab%3D2%23&amp;url=toolbar%3Ftmpl%3D1%26eid%3DNTCASE22:9277.25%26from%3D2%26hits%3D1%26tab%3D2%26option%3D1"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(1980), we have found no provision, and the parties have identified none, generally prohibiting an individual from waiving his right to participate in a pension plan. It would be surprising if there were </w:t>
      </w:r>
      <w:r>
        <w:rPr>
          <w:color w:val="FF0000"/>
        </w:rPr>
        <w:t xml:space="preserve">[*pg. 1365] </w:t>
      </w:r>
      <w:r>
        <w:rPr/>
        <w:t xml:space="preserve">such a provision, since ERISA does not require all eligible individuals to participate in a plan, explicitly recognizing, for example, that an employee may decline to contribute to a plan that requires employee contributions for participation. See, e.g., </w:t>
      </w:r>
      <w:r>
        <w:fldChar w:fldCharType="begin"/>
      </w:r>
      <w:r>
        <w:rPr>
          <w:b/>
          <w:bCs/>
        </w:rPr>
        <w:instrText xml:space="preserve">HYPERLINK "./frame?tmpl=1&amp;url=getdoc%3Feid%3DNTCODE:7544.4%26from%3D2%26hits%3D1%26option%3D1%26tab%3D2%23NTCODE:7551.51&amp;url=toolbar%3Ftmpl%3D1%26eid%3DNTCODE:7544.4%26from%3D2%26hits%3D1%26tab%3D2%26option%3D1"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 . </w:t>
      </w:r>
    </w:p>
    <w:p>
      <w:pPr>
        <w:pStyle w:val="Normal"/>
        <w:rPr/>
      </w:pPr>
      <w:r>
        <w:rPr/>
        <w:t xml:space="preserve">Allowing an eligible individual to decline to participate and to waive his right to do so does not seem to us to be inconsistent with the purposes of ERISA. ERISA was designed, among other things, “to protect … the interests of participants in private pension plans and their beneficiaries by improving the equitable character and the soundness of such plans....” </w:t>
      </w:r>
      <w:r>
        <w:fldChar w:fldCharType="begin"/>
      </w:r>
      <w:r>
        <w:rPr>
          <w:b/>
          <w:bCs/>
        </w:rPr>
        <w:instrText xml:space="preserve">HYPERLINK "./frame?tmpl=1&amp;url=getdoc%3Feid%3DNTCODE:7243.4%26from%3D2%26hits%3D1%26option%3D1%26tab%3D2%23NTCODE:7246.4&amp;url=toolbar%3Ftmpl%3D1%26eid%3DNTCODE:7243.4%26from%3D2%26hits%3D1%26tab%3D2%26option%3D1"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 . The legislative history of the statute, as well as its substantive provisions, show that Congress intended “to protect contractually defined benefits,” </w:t>
      </w:r>
      <w:r>
        <w:rPr>
          <w:rStyle w:val="Emphasis"/>
        </w:rPr>
        <w:t>Firestone Tire &amp; Rubber Co. v. Bruch,</w:t>
      </w:r>
      <w:r>
        <w:rPr/>
        <w:t xml:space="preserve">489 U.S. at 113 , 109 S.Ct. at 955 (citation omitted), and to ensure that “if a worker has been promised a defined pension benefit upon retirement – and if he has fulfilled whatever conditions are required to obtain a vested benefit – he actually will receive it,” </w:t>
      </w:r>
      <w:r>
        <w:rPr>
          <w:rStyle w:val="Emphasis"/>
        </w:rPr>
        <w:t>Nachman Corp. v. Pension Benefit Guaranty Corp.,</w:t>
      </w:r>
      <w:r>
        <w:rPr/>
        <w:t xml:space="preserve">446 U.S. at 375, 100 S.Ct. at 1733. See also </w:t>
      </w:r>
      <w:r>
        <w:rPr>
          <w:rStyle w:val="Emphasis"/>
        </w:rPr>
        <w:t>Bird v. Shearson Lehman/American Express, Inc.,</w:t>
      </w:r>
      <w:r>
        <w:fldChar w:fldCharType="begin"/>
      </w:r>
      <w:r>
        <w:rPr>
          <w:b/>
          <w:bCs/>
        </w:rPr>
        <w:instrText xml:space="preserve">HYPERLINK "./frame?tmpl=1&amp;url=getdoc%3Feid%3DNTCASE89:25378.1%26from%3D2%26hits%3D1%26option%3D1%26tab%3D2%23&amp;url=toolbar%3Ftmpl%3D1%26eid%3DNTCASE89:25378.1%26from%3D2%26hits%3D1%26tab%3D2%26option%3D1"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(2d Cir.1991). Allowing an individual to relinquish his opportunity to “fulfill[ ] whatever conditions are required” to qualify for benefits is not inconsistent with protecting the legitimate expectations of those who are entitled to benefits. </w:t>
      </w:r>
    </w:p>
    <w:p>
      <w:pPr>
        <w:pStyle w:val="Normal"/>
        <w:rPr/>
      </w:pPr>
      <w:r>
        <w:rPr/>
      </w:r>
    </w:p>
    <w:p>
      <w:pPr>
        <w:pStyle w:val="Normal"/>
        <w:rPr/>
      </w:pPr>
      <w:r>
        <w:rPr/>
        <w:t xml:space="preserve">Moreover, ERISA does not require that a worker be offered any particular retirement benefits. See </w:t>
      </w:r>
      <w:r>
        <w:rPr>
          <w:rStyle w:val="Emphasis"/>
        </w:rPr>
        <w:t>Shaw v. Delta Air Lines, Inc.,</w:t>
      </w:r>
      <w:r>
        <w:fldChar w:fldCharType="begin"/>
      </w:r>
      <w:r>
        <w:rPr>
          <w:b/>
          <w:bCs/>
        </w:rPr>
        <w:instrText xml:space="preserve">HYPERLINK "./frame?tmpl=1&amp;url=getdoc%3Feid%3DNTCASE22:10394.62%26from%3D2%26hits%3D1%26option%3D1%26tab%3D2%23&amp;url=toolbar%3Ftmpl%3D1%26eid%3DNTCASE22:10394.62%26from%3D2%26hits%3D1%26tab%3D2%26option%3D1"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 , </w:t>
      </w:r>
      <w:r>
        <w:fldChar w:fldCharType="begin"/>
      </w:r>
      <w:r>
        <w:rPr>
          <w:b/>
          <w:bCs/>
        </w:rPr>
        <w:instrText xml:space="preserve">HYPERLINK "./frame?tmpl=1&amp;url=getdoc%3Feid%3DNTCASE22:10394.62%26from%3D2%26hits%3D1%26option%3D1%26tab%3D2%23&amp;url=toolbar%3Ftmpl%3D1%26eid%3DNTCASE22:10394.62%26from%3D2%26hits%3D1%26tab%3D2%26option%3D1"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 </w:t>
      </w:r>
      <w:r>
        <w:fldChar w:fldCharType="begin"/>
      </w:r>
      <w:r>
        <w:rPr>
          <w:b/>
          <w:bCs/>
        </w:rPr>
        <w:instrText xml:space="preserve">HYPERLINK "./frame?tmpl=1&amp;url=getdoc%3Feid%3DNTCASE22:10394.62%26from%3D2%26hits%3D1%26option%3D1%26tab%3D2%23&amp;url=toolbar%3Ftmpl%3D1%26eid%3DNTCASE22:10394.62%26from%3D2%26hits%3D1%26tab%3D2%26option%3D1"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(1983). Although the Congress that enacted ERISA sought to improve the equitable character of private retirement plans and to encourage increased participation in them, it also recognized that such plans were voluntary on the part of the employer. See, e.g., H.R.Rep. No. 533, 93rd Cong., 1st Sess. 1-2 (1973), reprinted in 1974 U.S.Code Cong. &amp; Admin.News 4639, 4639-40; S.Rep. No. 383, 93rd Cong., 1st Sess. 1 (1973), reprinted in 1974 U.S.Code Cong. &amp; Admin.News 4890, 4890. Since ERISA did not change the voluntariness of an employer's decision to offer benefits, we are hesitant to conclude that ERISA was intended to prohibit an employee from declining to accept the offer. </w:t>
      </w:r>
    </w:p>
    <w:p>
      <w:pPr>
        <w:pStyle w:val="Normal"/>
        <w:rPr/>
      </w:pPr>
      <w:r>
        <w:rPr/>
      </w:r>
    </w:p>
    <w:p>
      <w:pPr>
        <w:pStyle w:val="Normal"/>
        <w:rPr/>
      </w:pPr>
      <w:r>
        <w:rPr/>
        <w:t xml:space="preserve">Finally, we find support for our conclusion in precedent upholding an individual's ability to settle or waive claims of discrimination in violation of the ADEA or Title VII of the Civil Rights Act of 1964, </w:t>
      </w:r>
      <w:r>
        <w:fldChar w:fldCharType="begin"/>
      </w:r>
      <w:r>
        <w:rPr>
          <w:b/>
          <w:bCs/>
        </w:rPr>
        <w:instrText xml:space="preserve">HYPERLINK "./frame?tmpl=1&amp;url=getdoc%3Feid%3DNTCODE:11709.2%26from%3D2%26hits%3D1%26option%3D1%26tab%3D2%23&amp;url=toolbar%3Ftmpl%3D1%26eid%3DNTCODE:11709.2%26from%3D2%26hits%3D1%26tab%3D2%26option%3D1"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et seq., so long as the waiver is made knowingly and voluntarily. See </w:t>
      </w:r>
      <w:r>
        <w:rPr>
          <w:rStyle w:val="Emphasis"/>
        </w:rPr>
        <w:t>Gilmer v. Interstate/Johnson Lane Corp.,</w:t>
      </w:r>
      <w:r>
        <w:rPr/>
        <w:t xml:space="preserve">500 U.S. 20 , _, 111 S.Ct. 1647, 1653, 114 L.Ed.2d 26 (1991) (ADEA); </w:t>
      </w:r>
      <w:r>
        <w:rPr>
          <w:rStyle w:val="Emphasis"/>
        </w:rPr>
        <w:t>Alexander v. Gardner-Denver Co.,</w:t>
      </w:r>
      <w:r>
        <w:rPr/>
        <w:t xml:space="preserve">415 U.S. 36, 52 &amp; n. 15, 94 S.Ct. 1011, 1021 &amp; n. 15, 39 L.Ed.2d 147 (1974) (Title VII); see also </w:t>
      </w:r>
      <w:r>
        <w:rPr>
          <w:rStyle w:val="Emphasis"/>
        </w:rPr>
        <w:t>Bormann v. AT &amp; T Communications, Inc.,</w:t>
      </w:r>
      <w:r>
        <w:fldChar w:fldCharType="begin"/>
      </w:r>
      <w:r>
        <w:rPr>
          <w:b/>
          <w:bCs/>
        </w:rPr>
        <w:instrText xml:space="preserve">HYPERLINK "./frame?tmpl=1&amp;url=getdoc%3Feid%3DNTCASE89:32056.1%26from%3D2%26hits%3D1%26option%3D1%26tab%3D2%23&amp;url=toolbar%3Ftmpl%3D1%26eid%3DNTCASE89:32056.1%26from%3D2%26hits%3D1%26tab%3D2%26option%3D1"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(2d Cir.), cert. denied, 493 U.S. 924 , 110 S.Ct. 292, 107 L.Ed.2d 272 (1989); </w:t>
      </w:r>
      <w:r>
        <w:rPr>
          <w:rStyle w:val="Emphasis"/>
        </w:rPr>
        <w:t>Coventry v. United States Steel Corp.,</w:t>
      </w:r>
      <w:r>
        <w:fldChar w:fldCharType="begin"/>
      </w:r>
      <w:r>
        <w:rPr>
          <w:b/>
          <w:bCs/>
        </w:rPr>
        <w:instrText xml:space="preserve">HYPERLINK "./frame?tmpl=1&amp;url=getdoc%3Feid%3DNTCASE22:582.1%26from%3D2%26hits%3D1%26option%3D1%26tab%3D2%23&amp;url=toolbar%3Ftmpl%3D1%26eid%3DNTCASE22:582.1%26from%3D2%26hits%3D1%26tab%3D2%26option%3D1"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(3d Cir.1988). Congress has recently endorsed the conclusion that a knowing and voluntary waiver of ADEA claims is enforceable by enacting legislation permitting such waivers if certain requirements are met. Older Workers Benefit Protection Act, Pub.L. No. 101-433, § 201, 104 Stat. 978, 983 (1990). </w:t>
      </w:r>
    </w:p>
    <w:p>
      <w:pPr>
        <w:pStyle w:val="Normal"/>
        <w:rPr/>
      </w:pPr>
      <w:r>
        <w:rPr/>
        <w:t xml:space="preserve">Although the right of an individual to participate in a pension plan is analogous to the rights given up when ADEA or Title VII claims are waived, they are not, of course, the same. We do not suggest that ADEA or Title VII protections can be prospectively waived before discrimination occurs. See, e.g., </w:t>
      </w:r>
      <w:r>
        <w:rPr>
          <w:rStyle w:val="Emphasis"/>
        </w:rPr>
        <w:t>Alexander v. Gardner-Denver Co.,</w:t>
      </w:r>
      <w:r>
        <w:rPr/>
        <w:t xml:space="preserve">415 U.S. at 52, 94 S.Ct. at 1021. Nevertheless, we find the reasoning of the ADEA and Title VII waiver cases instructive. </w:t>
      </w:r>
    </w:p>
    <w:p>
      <w:pPr>
        <w:pStyle w:val="Normal"/>
        <w:rPr/>
      </w:pPr>
      <w:r>
        <w:rPr/>
        <w:t xml:space="preserve">Those cases permit an individual to relinquish the statutorily-protected right to obtain redress for past discrimination, i.e., the right to attempt to obtain future economic benefits by asserting an ADEA or Title VII claim. We see no reason to afford greater protection to the statutorily-protected right to qualify for future economic benefits by participating in an </w:t>
      </w:r>
      <w:r>
        <w:rPr>
          <w:color w:val="FF0000"/>
        </w:rPr>
        <w:t xml:space="preserve">[*pg. 1366] </w:t>
      </w:r>
      <w:r>
        <w:rPr/>
        <w:t xml:space="preserve">ERISA pension plan, particularly since the waiver of pension plan participation does not presuppose any wrongdoing on the part of the employer. </w:t>
      </w:r>
    </w:p>
    <w:p>
      <w:pPr>
        <w:pStyle w:val="Normal"/>
        <w:rPr/>
      </w:pPr>
      <w:r>
        <w:rPr/>
      </w:r>
    </w:p>
    <w:p>
      <w:pPr>
        <w:pStyle w:val="Normal"/>
        <w:rPr/>
      </w:pPr>
      <w:r>
        <w:rPr/>
        <w:t xml:space="preserve">The American Association of Retired Persons (AARP), appearing as amicus curiae, contends that allowing an eligible worker to waive the right to participate in an ERISA pension plan would be contrary to a line of cases holding that the terms of the plan documents cannot be altered by informal communications between employers and plan beneficiaries, citing </w:t>
      </w:r>
      <w:r>
        <w:rPr>
          <w:rStyle w:val="Emphasis"/>
        </w:rPr>
        <w:t>Moore v. Metropolitan Life Insurance Co.,</w:t>
      </w:r>
      <w:r>
        <w:fldChar w:fldCharType="begin"/>
      </w:r>
      <w:r>
        <w:rPr>
          <w:b/>
          <w:bCs/>
        </w:rPr>
        <w:instrText xml:space="preserve">HYPERLINK "./frame?tmpl=1&amp;url=getdoc%3Feid%3DNTCASE22:558.1%26from%3D2%26hits%3D1%26option%3D1%26tab%3D2%23&amp;url=toolbar%3Ftmpl%3D1%26eid%3DNTCASE22:558.1%26from%3D2%26hits%3D1%26tab%3D2%26option%3D1"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(2d Cir.1988), and would allow employers to avoid ERISA pension plan standards in such areas as vesting of benefits, see </w:t>
      </w:r>
      <w:r>
        <w:fldChar w:fldCharType="begin"/>
      </w:r>
      <w:r>
        <w:rPr>
          <w:b/>
          <w:bCs/>
        </w:rPr>
        <w:instrText xml:space="preserve">HYPERLINK "./frame?tmpl=1&amp;url=getdoc%3Feid%3DNTCODE:7544.4%26from%3D2%26hits%3D1%26option%3D1%26tab%3D2%23&amp;url=toolbar%3Ftmpl%3D1%26eid%3DNTCODE:7544.4%26from%3D2%26hits%3D1%26tab%3D2%26option%3D1"</w:instrText>
      </w:r>
      <w:r>
        <w:rPr>
          <w:b/>
          <w:bCs/>
        </w:rPr>
      </w:r>
      <w:r>
        <w:rPr>
          <w:b/>
          <w:bCs/>
        </w:rPr>
        <w:fldChar w:fldCharType="separate"/>
      </w:r>
      <w:r>
        <w:rPr>
          <w:b/>
          <w:bCs/>
        </w:rPr>
        <w:t>Error! Bookmark not defined.</w:t>
      </w:r>
      <w:r>
        <w:rPr>
          <w:b/>
          <w:bCs/>
        </w:rPr>
      </w:r>
      <w:r>
        <w:rPr>
          <w:b/>
          <w:bCs/>
        </w:rPr>
        <w:fldChar w:fldCharType="end"/>
      </w:r>
      <w:r>
        <w:rPr/>
        <w:t xml:space="preserve"> , by obtaining individual waivers of such protections from employees. We disagree. We do not believe that an individual waiver of the right to participate varies the terms of the plan itself; it does not alter the plan's definition of eligibility. Moreover, it is precisely because we find no ERISA provision at the relevant time mandating participation for all who are eligible that we hold permissible an individual waiver of participation. Our decision should by no means be interpreted as approving the individual waiver of pension plan standards that ERISA does mandate. </w:t>
      </w:r>
    </w:p>
    <w:p>
      <w:pPr>
        <w:pStyle w:val="Normal"/>
        <w:rPr>
          <w:rStyle w:val="Strong"/>
        </w:rPr>
      </w:pPr>
      <w:r>
        <w:rPr/>
      </w:r>
    </w:p>
    <w:p>
      <w:pPr>
        <w:pStyle w:val="Normal"/>
        <w:rPr/>
      </w:pPr>
      <w:r>
        <w:rPr>
          <w:rStyle w:val="Strong"/>
        </w:rPr>
        <w:t>. . . . .</w:t>
      </w:r>
    </w:p>
    <w:p>
      <w:pPr>
        <w:pStyle w:val="Normal"/>
        <w:rPr>
          <w:rStyle w:val="Strong"/>
        </w:rPr>
      </w:pPr>
      <w:r>
        <w:rPr/>
      </w:r>
    </w:p>
    <w:p>
      <w:pPr>
        <w:pStyle w:val="Normal"/>
        <w:rPr/>
      </w:pPr>
      <w:r>
        <w:rPr>
          <w:rStyle w:val="Strong"/>
        </w:rPr>
        <w:t xml:space="preserve">[5] </w:t>
      </w:r>
      <w:r>
        <w:rPr/>
        <w:t xml:space="preserve">The problem of potential employer abuse raised by appellant and the AARP is, however, a serious one. Although we believe that ERISA permits individuals, including older individuals like Laniok, to waive their opportunity to participate in pension plans even if the employer could not exclude them, such individuals are relinquishing a right that ERISA indicates a strong congressional purpose of preserving. In order to ensure that an individual decision characterized as a waiver is not, in fact, an impermissible exclusion, it is appropriate that an individual's waiver of his right to participate in a pension plan be carefully examined to ensure that it is knowingly and voluntarily made. </w:t>
      </w:r>
    </w:p>
    <w:p>
      <w:pPr>
        <w:pStyle w:val="Normal"/>
        <w:rPr/>
      </w:pPr>
      <w:r>
        <w:rPr/>
      </w:r>
    </w:p>
    <w:p>
      <w:pPr>
        <w:pStyle w:val="Normal"/>
        <w:rPr/>
      </w:pPr>
      <w:r>
        <w:rPr/>
        <w:t xml:space="preserve">In the analogous ADEA waiver situation, we have similarly required that a waiver be strictly scrutinized. </w:t>
      </w:r>
      <w:r>
        <w:rPr>
          <w:rStyle w:val="Emphasis"/>
        </w:rPr>
        <w:t>Bormann v. AT &amp; T Communications, Inc.,</w:t>
      </w:r>
      <w:r>
        <w:rPr/>
        <w:t xml:space="preserve">875 F.2d at 403. In </w:t>
      </w:r>
      <w:r>
        <w:rPr>
          <w:rStyle w:val="Emphasis"/>
        </w:rPr>
        <w:t>Bormann,</w:t>
      </w:r>
      <w:r>
        <w:rPr/>
        <w:t xml:space="preserve"> we adopted the “totality of the circumstances” standard applied by the Third Circuit, </w:t>
      </w:r>
      <w:r>
        <w:rPr>
          <w:rStyle w:val="Emphasis"/>
        </w:rPr>
        <w:t>id.</w:t>
      </w:r>
      <w:r>
        <w:rPr/>
        <w:t xml:space="preserve"> (citing </w:t>
      </w:r>
      <w:r>
        <w:rPr>
          <w:rStyle w:val="Emphasis"/>
        </w:rPr>
        <w:t>Coventry v. United States Steel Corp.,</w:t>
      </w:r>
      <w:r>
        <w:rPr/>
        <w:t xml:space="preserve">856 F.2d at 524), and Congress has explicitly indicated approval of this approach to determining whether ADEA waivers are knowing and voluntary, S.Rep. No. 263, 101st Congress, 2d Sess. 32, reprinted in Dec. 1990 U.S.Code Cong. &amp; Admin.News (No. 9) 1509, 1537. We agree with the district court that a similar totality of the circumstances inquiry is appropriate in determining whether an individual waiver of the right to participate in an ERISA plan is knowing and voluntary. </w:t>
      </w:r>
    </w:p>
    <w:p>
      <w:pPr>
        <w:pStyle w:val="Normal"/>
        <w:rPr/>
      </w:pPr>
      <w:r>
        <w:rPr/>
      </w:r>
    </w:p>
    <w:p>
      <w:pPr>
        <w:pStyle w:val="Normal"/>
        <w:rPr/>
      </w:pPr>
      <w:r>
        <w:rPr/>
        <w:t xml:space="preserve">In </w:t>
      </w:r>
      <w:r>
        <w:rPr>
          <w:rStyle w:val="Emphasis"/>
        </w:rPr>
        <w:t>Bormann,</w:t>
      </w:r>
      <w:r>
        <w:rPr/>
        <w:t xml:space="preserve"> we identified a number of factors that were useful in determining whether the totality of the circumstances showed that the release of an ADEA claim was knowing and voluntary, and we believe that these factors are equally relevant to a waiver of participation in an ERISA pension plan. </w:t>
      </w:r>
      <w:r>
        <w:rPr>
          <w:rStyle w:val="Emphasis"/>
        </w:rPr>
        <w:t>Bormann v. AT &amp; T Communications, Inc.,</w:t>
      </w:r>
      <w:r>
        <w:rPr/>
        <w:t xml:space="preserve">875 F.2d at 403 . The factors, initially enumerated in </w:t>
      </w:r>
      <w:r>
        <w:rPr>
          <w:rStyle w:val="Emphasis"/>
        </w:rPr>
        <w:t>EEOC v. American Express Publishing Corp.,</w:t>
      </w:r>
      <w:r>
        <w:rPr/>
        <w:t xml:space="preserve">681 F.Supp. 216, 219 (S.D.N.Y.1988), and cited with approval by the Third Circuit in </w:t>
      </w:r>
      <w:r>
        <w:rPr>
          <w:rStyle w:val="Emphasis"/>
        </w:rPr>
        <w:t>Coventry,</w:t>
      </w:r>
      <w:r>
        <w:rPr/>
        <w:t xml:space="preserve">856 F.2d at 523 , are, as modified by </w:t>
      </w:r>
      <w:r>
        <w:rPr>
          <w:rStyle w:val="Emphasis"/>
        </w:rPr>
        <w:t>Bormann:</w:t>
      </w:r>
      <w:r>
        <w:rPr>
          <w:color w:val="FF0000"/>
        </w:rPr>
        <w:t xml:space="preserve">[*pg. 1368] </w:t>
      </w:r>
      <w:r>
        <w:rPr/>
        <w:t xml:space="preserve">“1) the plaintiff's education and business experience, 2) the amount of time the plaintiff had possession of or access to the agreement before signing it, 3) the role of plaintiff in deciding the terms of the agreement, 4) the clarity of the agreement, 5) whether the plaintiff was represented by or consulted with an attorney, [as well as whether an employer encouraged the employee to consult an attorney and whether the employee had a fair opportunity to do so] and 6) whether the consideration given in exchange for the waiver exceeds employee benefits to which the employee was already entitled by contract or law. </w:t>
      </w:r>
    </w:p>
    <w:p>
      <w:pPr>
        <w:pStyle w:val="Normal"/>
        <w:rPr/>
      </w:pPr>
      <w:r>
        <w:rPr>
          <w:rStyle w:val="Emphasis"/>
        </w:rPr>
        <w:t>Bormann v. AT &amp; T Communications, Inc.,</w:t>
      </w:r>
      <w:r>
        <w:rPr/>
        <w:t xml:space="preserve">875 F.2d at 403 (citations omitted). As we emphasized in </w:t>
      </w:r>
      <w:r>
        <w:rPr>
          <w:rStyle w:val="Emphasis"/>
        </w:rPr>
        <w:t>Bormann,</w:t>
      </w:r>
      <w:r>
        <w:rPr/>
        <w:t xml:space="preserve"> this list “is obviously not exhaustive,” and, as was the case in </w:t>
      </w:r>
      <w:r>
        <w:rPr>
          <w:rStyle w:val="Emphasis"/>
        </w:rPr>
        <w:t>Bormann,</w:t>
      </w:r>
      <w:r>
        <w:rPr/>
        <w:t xml:space="preserve"> the absence of a single factor is not necessarily dispositive. </w:t>
      </w:r>
      <w:r>
        <w:rPr>
          <w:rStyle w:val="Emphasis"/>
        </w:rPr>
        <w:t>Id.</w:t>
      </w:r>
      <w:r>
        <w:rPr/>
        <w:t xml:space="preserve"> at 403 &amp; n. 1. </w:t>
      </w:r>
    </w:p>
    <w:p>
      <w:pPr>
        <w:pStyle w:val="Normal"/>
        <w:rPr/>
      </w:pPr>
      <w:r>
        <w:rPr/>
        <w:t>Obviously, the circumstances to which these factors apply will differ if the waiver at issue is agreed to by a prospective employee rather than a current employee. A prospective employee would generally evaluate the total package offered by the prospective employer – including hours, wages, nature of work and other conditions of employment as well as pension benefits – and compare it to his other employment alternatives, which could well include another prospective employer who offers no pension benefits at all. We emphasize that any attempt to establish a checklist of all applicable factors or to insist on rigid adherence to such a list is foreclosed by the very nature of the inquiry. The essential question is a pragmatic one: whether, in the totality of the circumstances, the individual's waiver of his right can be characterized as “knowing and voluntary.”</w:t>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pPr>
    <w:rPr>
      <w:b/>
      <w:bCs/>
      <w:sz w:val="28"/>
      <w:szCs w:val="28"/>
    </w:rPr>
  </w:style>
  <w:style w:type="paragraph" w:styleId="Blockquote">
    <w:name w:val="Blockquote"/>
    <w:basedOn w:val="Normal"/>
    <w:qFormat/>
    <w:pPr>
      <w:spacing w:before="100" w:after="100"/>
      <w:ind w:hanging="0" w:start="360" w:end="36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2000-01-14T15:51:00Z</dcterms:created>
  <dc:creator>Mackin</dc:creator>
  <dc:description/>
  <dc:language>en-CA</dc:language>
  <cp:lastModifiedBy>Mackin</cp:lastModifiedBy>
  <cp:lastPrinted>2000-01-14T10:18:00Z</cp:lastPrinted>
  <dcterms:modified xsi:type="dcterms:W3CDTF">2000-01-14T15:51:00Z</dcterms:modified>
  <cp:revision>2</cp:revision>
  <dc:subject/>
  <dc:title>To:  Distribution Below							January 14, 2000</dc:title>
</cp:coreProperties>
</file>