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Heading1"/>
        <w:ind w:hanging="0" w:start="0"/>
        <w:rPr/>
      </w:pPr>
      <w:r>
        <w:rPr/>
        <w:t>July 5, 2000</w:t>
      </w:r>
    </w:p>
    <w:p>
      <w:pPr>
        <w:pStyle w:val="Normal"/>
        <w:rPr/>
      </w:pPr>
      <w:r>
        <w:rPr/>
      </w:r>
    </w:p>
    <w:p>
      <w:pPr>
        <w:pStyle w:val="Normal"/>
        <w:rPr/>
      </w:pPr>
      <w:r>
        <w:rPr/>
      </w:r>
    </w:p>
    <w:p>
      <w:pPr>
        <w:pStyle w:val="Normal"/>
        <w:rPr>
          <w:color w:val="000000"/>
          <w:sz w:val="24"/>
          <w:lang w:eastAsia="en-US"/>
        </w:rPr>
      </w:pPr>
      <w:r>
        <w:rPr>
          <w:color w:val="000000"/>
          <w:sz w:val="24"/>
          <w:lang w:eastAsia="en-US"/>
        </w:rPr>
        <w:t>Mr. Doug Thomas</w:t>
      </w:r>
    </w:p>
    <w:p>
      <w:pPr>
        <w:pStyle w:val="Normal"/>
        <w:rPr>
          <w:color w:val="000000"/>
          <w:sz w:val="24"/>
          <w:lang w:eastAsia="en-US"/>
        </w:rPr>
      </w:pPr>
      <w:r>
        <w:rPr>
          <w:color w:val="000000"/>
          <w:sz w:val="24"/>
          <w:lang w:eastAsia="en-US"/>
        </w:rPr>
        <w:t>President &amp; CEO</w:t>
      </w:r>
    </w:p>
    <w:p>
      <w:pPr>
        <w:pStyle w:val="Normal"/>
        <w:rPr>
          <w:color w:val="000000"/>
          <w:sz w:val="24"/>
          <w:lang w:eastAsia="en-US"/>
        </w:rPr>
      </w:pPr>
      <w:r>
        <w:rPr>
          <w:color w:val="000000"/>
          <w:sz w:val="24"/>
          <w:lang w:eastAsia="en-US"/>
        </w:rPr>
        <w:t>Bellingham Cold Storage</w:t>
      </w:r>
    </w:p>
    <w:p>
      <w:pPr>
        <w:pStyle w:val="Normal"/>
        <w:rPr>
          <w:color w:val="000000"/>
          <w:sz w:val="24"/>
          <w:lang w:eastAsia="en-US"/>
        </w:rPr>
      </w:pPr>
      <w:r>
        <w:rPr>
          <w:color w:val="000000"/>
          <w:sz w:val="24"/>
          <w:lang w:eastAsia="en-US"/>
        </w:rPr>
        <w:t>2825 Roeder Ave.</w:t>
      </w:r>
    </w:p>
    <w:p>
      <w:pPr>
        <w:pStyle w:val="Normal"/>
        <w:rPr>
          <w:color w:val="000000"/>
          <w:sz w:val="24"/>
          <w:lang w:eastAsia="en-US"/>
        </w:rPr>
      </w:pPr>
      <w:r>
        <w:rPr>
          <w:color w:val="000000"/>
          <w:sz w:val="24"/>
          <w:lang w:eastAsia="en-US"/>
        </w:rPr>
        <w:t>Bellingham , WA 98225</w:t>
      </w:r>
    </w:p>
    <w:p>
      <w:pPr>
        <w:pStyle w:val="Normal"/>
        <w:rPr>
          <w:color w:val="000000"/>
          <w:sz w:val="24"/>
          <w:lang w:eastAsia="en-US"/>
        </w:rPr>
      </w:pPr>
      <w:r>
        <w:rPr>
          <w:color w:val="000000"/>
          <w:sz w:val="24"/>
          <w:lang w:eastAsia="en-US"/>
        </w:rPr>
        <w:t>Tel:   (360) 733-1640</w:t>
      </w:r>
    </w:p>
    <w:p>
      <w:pPr>
        <w:pStyle w:val="Normal"/>
        <w:rPr>
          <w:color w:val="000000"/>
          <w:sz w:val="24"/>
          <w:lang w:eastAsia="en-US"/>
        </w:rPr>
      </w:pPr>
      <w:r>
        <w:rPr>
          <w:color w:val="000000"/>
          <w:sz w:val="24"/>
          <w:lang w:eastAsia="en-US"/>
        </w:rPr>
        <w:t>Fax:  (360) 671-2587</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Dear Mr. Thomas:</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Summarized below is a Term Sheet covering a possible transaction between Enron North America and Bellingham Cold Storage.  Please recognize that all prices are subject to change.  I also have not had much time to review my write up with our legal department.   However, in the interest of getting information in your hands quickly so we can focus on the details of the deal structure, here it is.</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I spoke to Brad Flinn earlier today and suggested the two of you call me at 503/464-3822 after you have reviewed the Term Sheet.</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Thanks for your consideration.</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Sincerely,</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Chris Foster</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r>
      <w:r>
        <w:br w:type="page"/>
      </w:r>
    </w:p>
    <w:p>
      <w:pPr>
        <w:pStyle w:val="Normal"/>
        <w:rPr/>
      </w:pPr>
      <w:r>
        <w:rPr>
          <w:color w:val="000000"/>
          <w:sz w:val="24"/>
          <w:lang w:eastAsia="en-US"/>
        </w:rPr>
        <w:tab/>
        <w:tab/>
        <w:tab/>
        <w:tab/>
        <w:tab/>
      </w:r>
      <w:r>
        <w:rPr>
          <w:b/>
          <w:color w:val="000000"/>
          <w:sz w:val="28"/>
          <w:lang w:eastAsia="en-US"/>
        </w:rPr>
        <w:t>Proposed Financial Swap Transaction</w:t>
      </w:r>
    </w:p>
    <w:p>
      <w:pPr>
        <w:pStyle w:val="Normal"/>
        <w:rPr>
          <w:b/>
          <w:color w:val="000000"/>
          <w:sz w:val="24"/>
          <w:lang w:eastAsia="en-US"/>
        </w:rPr>
      </w:pPr>
      <w:r>
        <w:rPr>
          <w:b/>
          <w:color w:val="000000"/>
          <w:sz w:val="24"/>
          <w:lang w:eastAsia="en-US"/>
        </w:rPr>
      </w:r>
    </w:p>
    <w:p>
      <w:pPr>
        <w:pStyle w:val="Normal"/>
        <w:rPr>
          <w:color w:val="000000"/>
          <w:sz w:val="24"/>
          <w:lang w:eastAsia="en-US"/>
        </w:rPr>
      </w:pPr>
      <w:r>
        <w:rPr>
          <w:color w:val="000000"/>
          <w:sz w:val="24"/>
          <w:lang w:eastAsia="en-US"/>
        </w:rPr>
      </w:r>
    </w:p>
    <w:p>
      <w:pPr>
        <w:pStyle w:val="Normal"/>
        <w:rPr>
          <w:b/>
          <w:color w:val="000000"/>
          <w:sz w:val="24"/>
          <w:lang w:eastAsia="en-US"/>
        </w:rPr>
      </w:pPr>
      <w:r>
        <w:rPr>
          <w:b/>
          <w:color w:val="000000"/>
          <w:sz w:val="24"/>
          <w:lang w:eastAsia="en-US"/>
        </w:rPr>
        <w:t>Notional Quantity per Determination Period:</w:t>
        <w:tab/>
      </w:r>
    </w:p>
    <w:p>
      <w:pPr>
        <w:pStyle w:val="Normal"/>
        <w:rPr>
          <w:b/>
          <w:color w:val="000000"/>
          <w:sz w:val="24"/>
          <w:lang w:eastAsia="en-US"/>
        </w:rPr>
      </w:pPr>
      <w:r>
        <w:rPr>
          <w:b/>
          <w:color w:val="000000"/>
          <w:sz w:val="24"/>
          <w:lang w:eastAsia="en-US"/>
        </w:rPr>
      </w:r>
    </w:p>
    <w:p>
      <w:pPr>
        <w:pStyle w:val="Normal"/>
        <w:ind w:firstLine="720" w:start="720" w:end="0"/>
        <w:rPr>
          <w:color w:val="000000"/>
          <w:sz w:val="24"/>
          <w:lang w:eastAsia="en-US"/>
        </w:rPr>
      </w:pPr>
      <w:r>
        <w:rPr>
          <w:color w:val="000000"/>
          <w:sz w:val="24"/>
          <w:lang w:eastAsia="en-US"/>
        </w:rPr>
        <w:t xml:space="preserve">July 7 – 31, 2000  </w:t>
        <w:tab/>
        <w:tab/>
        <w:t>5 MW</w:t>
      </w:r>
    </w:p>
    <w:p>
      <w:pPr>
        <w:pStyle w:val="Normal"/>
        <w:rPr>
          <w:color w:val="000000"/>
          <w:sz w:val="24"/>
          <w:lang w:eastAsia="en-US"/>
        </w:rPr>
      </w:pPr>
      <w:r>
        <w:rPr>
          <w:color w:val="000000"/>
          <w:sz w:val="24"/>
          <w:lang w:eastAsia="en-US"/>
        </w:rPr>
        <w:t xml:space="preserve">                   </w:t>
      </w:r>
      <w:r>
        <w:rPr>
          <w:color w:val="000000"/>
          <w:sz w:val="24"/>
          <w:lang w:eastAsia="en-US"/>
        </w:rPr>
        <w:tab/>
        <w:t xml:space="preserve">August – November </w:t>
        <w:tab/>
        <w:tab/>
        <w:t>5 MW</w:t>
      </w:r>
    </w:p>
    <w:p>
      <w:pPr>
        <w:pStyle w:val="Normal"/>
        <w:rPr>
          <w:color w:val="000000"/>
          <w:sz w:val="24"/>
          <w:lang w:eastAsia="en-US"/>
        </w:rPr>
      </w:pPr>
      <w:r>
        <w:rPr>
          <w:color w:val="000000"/>
          <w:sz w:val="24"/>
          <w:lang w:eastAsia="en-US"/>
        </w:rPr>
        <w:t xml:space="preserve">                   </w:t>
      </w:r>
      <w:r>
        <w:rPr>
          <w:color w:val="000000"/>
          <w:sz w:val="24"/>
          <w:lang w:eastAsia="en-US"/>
        </w:rPr>
        <w:tab/>
        <w:t xml:space="preserve">December  </w:t>
        <w:tab/>
        <w:tab/>
        <w:tab/>
        <w:t>3 MW</w:t>
      </w:r>
    </w:p>
    <w:p>
      <w:pPr>
        <w:pStyle w:val="Normal"/>
        <w:rPr>
          <w:color w:val="000000"/>
          <w:sz w:val="24"/>
          <w:lang w:eastAsia="en-US"/>
        </w:rPr>
      </w:pPr>
      <w:r>
        <w:rPr>
          <w:color w:val="000000"/>
          <w:sz w:val="24"/>
          <w:lang w:eastAsia="en-US"/>
        </w:rPr>
        <w:t xml:space="preserve">                   </w:t>
      </w:r>
      <w:r>
        <w:rPr>
          <w:color w:val="000000"/>
          <w:sz w:val="24"/>
          <w:lang w:eastAsia="en-US"/>
        </w:rPr>
        <w:tab/>
        <w:t xml:space="preserve">January - May 2001   </w:t>
        <w:tab/>
        <w:tab/>
        <w:t>5 MW</w:t>
      </w:r>
    </w:p>
    <w:p>
      <w:pPr>
        <w:pStyle w:val="Normal"/>
        <w:rPr>
          <w:color w:val="000000"/>
          <w:sz w:val="24"/>
          <w:lang w:eastAsia="en-US"/>
        </w:rPr>
      </w:pPr>
      <w:r>
        <w:rPr>
          <w:color w:val="000000"/>
          <w:sz w:val="24"/>
          <w:lang w:eastAsia="en-US"/>
        </w:rPr>
        <w:t xml:space="preserve">                   </w:t>
      </w:r>
      <w:r>
        <w:rPr>
          <w:color w:val="000000"/>
          <w:sz w:val="24"/>
          <w:lang w:eastAsia="en-US"/>
        </w:rPr>
        <w:tab/>
        <w:t xml:space="preserve">June - November    </w:t>
        <w:tab/>
        <w:tab/>
        <w:t>5 MW</w:t>
      </w:r>
    </w:p>
    <w:p>
      <w:pPr>
        <w:pStyle w:val="Normal"/>
        <w:rPr>
          <w:color w:val="000000"/>
          <w:sz w:val="24"/>
          <w:lang w:eastAsia="en-US"/>
        </w:rPr>
      </w:pPr>
      <w:r>
        <w:rPr>
          <w:color w:val="000000"/>
          <w:sz w:val="24"/>
          <w:lang w:eastAsia="en-US"/>
        </w:rPr>
        <w:t xml:space="preserve">                   </w:t>
      </w:r>
      <w:r>
        <w:rPr>
          <w:color w:val="000000"/>
          <w:sz w:val="24"/>
          <w:lang w:eastAsia="en-US"/>
        </w:rPr>
        <w:tab/>
        <w:t>December</w:t>
        <w:tab/>
        <w:tab/>
        <w:tab/>
        <w:t>3 MW</w:t>
      </w:r>
    </w:p>
    <w:p>
      <w:pPr>
        <w:pStyle w:val="Normal"/>
        <w:rPr>
          <w:color w:val="000000"/>
          <w:sz w:val="24"/>
          <w:lang w:eastAsia="en-US"/>
        </w:rPr>
      </w:pPr>
      <w:r>
        <w:rPr>
          <w:color w:val="000000"/>
          <w:sz w:val="24"/>
          <w:lang w:eastAsia="en-US"/>
        </w:rPr>
        <w:t xml:space="preserve">                    </w:t>
      </w:r>
    </w:p>
    <w:p>
      <w:pPr>
        <w:pStyle w:val="Normal"/>
        <w:rPr/>
      </w:pPr>
      <w:r>
        <w:rPr>
          <w:b/>
          <w:color w:val="000000"/>
          <w:sz w:val="24"/>
          <w:lang w:eastAsia="en-US"/>
        </w:rPr>
        <w:t>Commodity:</w:t>
      </w:r>
      <w:r>
        <w:rPr>
          <w:color w:val="000000"/>
          <w:sz w:val="24"/>
          <w:lang w:eastAsia="en-US"/>
        </w:rPr>
        <w:tab/>
        <w:tab/>
        <w:t>Electricity</w:t>
      </w:r>
    </w:p>
    <w:p>
      <w:pPr>
        <w:pStyle w:val="Normal"/>
        <w:rPr>
          <w:color w:val="000000"/>
          <w:sz w:val="24"/>
          <w:lang w:eastAsia="en-US"/>
        </w:rPr>
      </w:pPr>
      <w:r>
        <w:rPr>
          <w:color w:val="000000"/>
          <w:sz w:val="24"/>
          <w:lang w:eastAsia="en-US"/>
        </w:rPr>
      </w:r>
    </w:p>
    <w:p>
      <w:pPr>
        <w:pStyle w:val="Normal"/>
        <w:rPr/>
      </w:pPr>
      <w:r>
        <w:rPr>
          <w:b/>
          <w:color w:val="000000"/>
          <w:sz w:val="24"/>
          <w:lang w:eastAsia="en-US"/>
        </w:rPr>
        <w:t>Commodity Unit:</w:t>
      </w:r>
      <w:r>
        <w:rPr>
          <w:color w:val="000000"/>
          <w:sz w:val="24"/>
          <w:lang w:eastAsia="en-US"/>
        </w:rPr>
        <w:tab/>
        <w:t>MWh (Megawatt hours)</w:t>
      </w:r>
    </w:p>
    <w:p>
      <w:pPr>
        <w:pStyle w:val="Normal"/>
        <w:rPr>
          <w:color w:val="000000"/>
          <w:sz w:val="24"/>
          <w:lang w:eastAsia="en-US"/>
        </w:rPr>
      </w:pPr>
      <w:r>
        <w:rPr>
          <w:color w:val="000000"/>
          <w:sz w:val="24"/>
          <w:lang w:eastAsia="en-US"/>
        </w:rPr>
      </w:r>
    </w:p>
    <w:p>
      <w:pPr>
        <w:pStyle w:val="Normal"/>
        <w:rPr/>
      </w:pPr>
      <w:r>
        <w:rPr>
          <w:b/>
          <w:color w:val="000000"/>
          <w:sz w:val="24"/>
          <w:lang w:eastAsia="en-US"/>
        </w:rPr>
        <w:t>Trade Date:</w:t>
      </w:r>
      <w:r>
        <w:rPr>
          <w:color w:val="000000"/>
          <w:sz w:val="24"/>
          <w:lang w:eastAsia="en-US"/>
        </w:rPr>
        <w:tab/>
        <w:t xml:space="preserve"> </w:t>
        <w:tab/>
        <w:t>July ?, 2001</w:t>
      </w:r>
    </w:p>
    <w:p>
      <w:pPr>
        <w:pStyle w:val="Normal"/>
        <w:rPr>
          <w:color w:val="000000"/>
          <w:sz w:val="24"/>
          <w:lang w:eastAsia="en-US"/>
        </w:rPr>
      </w:pPr>
      <w:r>
        <w:rPr>
          <w:color w:val="000000"/>
          <w:sz w:val="24"/>
          <w:lang w:eastAsia="en-US"/>
        </w:rPr>
        <w:tab/>
      </w:r>
    </w:p>
    <w:p>
      <w:pPr>
        <w:pStyle w:val="Normal"/>
        <w:rPr/>
      </w:pPr>
      <w:r>
        <w:rPr>
          <w:b/>
          <w:color w:val="000000"/>
          <w:sz w:val="24"/>
          <w:lang w:eastAsia="en-US"/>
        </w:rPr>
        <w:t>Effective Date:</w:t>
      </w:r>
      <w:r>
        <w:rPr>
          <w:color w:val="000000"/>
          <w:sz w:val="24"/>
          <w:lang w:eastAsia="en-US"/>
        </w:rPr>
        <w:tab/>
        <w:t>July ?, 2001</w:t>
      </w:r>
    </w:p>
    <w:p>
      <w:pPr>
        <w:pStyle w:val="Normal"/>
        <w:rPr>
          <w:color w:val="000000"/>
          <w:sz w:val="24"/>
          <w:lang w:eastAsia="en-US"/>
        </w:rPr>
      </w:pPr>
      <w:r>
        <w:rPr>
          <w:color w:val="000000"/>
          <w:sz w:val="24"/>
          <w:lang w:eastAsia="en-US"/>
        </w:rPr>
        <w:tab/>
      </w:r>
    </w:p>
    <w:p>
      <w:pPr>
        <w:pStyle w:val="Normal"/>
        <w:rPr>
          <w:b/>
          <w:color w:val="000000"/>
          <w:sz w:val="24"/>
          <w:lang w:eastAsia="en-US"/>
        </w:rPr>
      </w:pPr>
      <w:r>
        <w:rPr>
          <w:b/>
          <w:color w:val="000000"/>
          <w:sz w:val="24"/>
          <w:lang w:eastAsia="en-US"/>
        </w:rPr>
        <w:t>Termination Date:</w:t>
        <w:tab/>
        <w:t>?</w:t>
      </w:r>
    </w:p>
    <w:p>
      <w:pPr>
        <w:pStyle w:val="Normal"/>
        <w:rPr>
          <w:color w:val="000000"/>
          <w:sz w:val="24"/>
          <w:lang w:eastAsia="en-US"/>
        </w:rPr>
      </w:pPr>
      <w:r>
        <w:rPr>
          <w:color w:val="000000"/>
          <w:sz w:val="24"/>
          <w:lang w:eastAsia="en-US"/>
        </w:rPr>
        <w:tab/>
      </w:r>
    </w:p>
    <w:p>
      <w:pPr>
        <w:pStyle w:val="Normal"/>
        <w:rPr/>
      </w:pPr>
      <w:r>
        <w:rPr>
          <w:b/>
          <w:color w:val="000000"/>
          <w:sz w:val="24"/>
          <w:lang w:eastAsia="en-US"/>
        </w:rPr>
        <w:t>Determination Period:</w:t>
      </w:r>
      <w:r>
        <w:rPr>
          <w:color w:val="000000"/>
          <w:sz w:val="24"/>
          <w:lang w:eastAsia="en-US"/>
        </w:rPr>
        <w:tab/>
        <w:t xml:space="preserve">Each month beginning with July 1, 2001 and ending on </w:t>
      </w:r>
    </w:p>
    <w:p>
      <w:pPr>
        <w:pStyle w:val="Normal"/>
        <w:ind w:firstLine="720" w:start="2160" w:end="0"/>
        <w:rPr>
          <w:color w:val="000000"/>
          <w:sz w:val="24"/>
          <w:lang w:eastAsia="en-US"/>
        </w:rPr>
      </w:pPr>
      <w:r>
        <w:rPr>
          <w:color w:val="000000"/>
          <w:sz w:val="24"/>
          <w:lang w:eastAsia="en-US"/>
        </w:rPr>
        <w:t>____, 2001.</w:t>
      </w:r>
    </w:p>
    <w:p>
      <w:pPr>
        <w:pStyle w:val="Normal"/>
        <w:rPr>
          <w:color w:val="000000"/>
          <w:sz w:val="24"/>
          <w:lang w:eastAsia="en-US"/>
        </w:rPr>
      </w:pPr>
      <w:r>
        <w:rPr>
          <w:color w:val="000000"/>
          <w:sz w:val="24"/>
          <w:lang w:eastAsia="en-US"/>
        </w:rPr>
      </w:r>
    </w:p>
    <w:p>
      <w:pPr>
        <w:pStyle w:val="Normal"/>
        <w:rPr/>
      </w:pPr>
      <w:r>
        <w:rPr>
          <w:b/>
          <w:color w:val="000000"/>
          <w:sz w:val="24"/>
          <w:lang w:eastAsia="en-US"/>
        </w:rPr>
        <w:t>Payment Date(s):</w:t>
      </w:r>
      <w:r>
        <w:rPr>
          <w:color w:val="000000"/>
          <w:sz w:val="24"/>
          <w:lang w:eastAsia="en-US"/>
        </w:rPr>
        <w:tab/>
        <w:t xml:space="preserve">The 20th day of the month following the Determination Period, </w:t>
      </w:r>
    </w:p>
    <w:p>
      <w:pPr>
        <w:pStyle w:val="Normal"/>
        <w:ind w:start="2160" w:end="0"/>
        <w:rPr>
          <w:color w:val="000000"/>
          <w:sz w:val="24"/>
          <w:lang w:eastAsia="en-US"/>
        </w:rPr>
      </w:pPr>
      <w:r>
        <w:rPr>
          <w:color w:val="000000"/>
          <w:sz w:val="24"/>
          <w:lang w:eastAsia="en-US"/>
        </w:rPr>
        <w:t>adjusted to the first following day that is a Business Day if the 20th calendar day is not a Business Day.</w:t>
      </w:r>
    </w:p>
    <w:p>
      <w:pPr>
        <w:pStyle w:val="Normal"/>
        <w:rPr>
          <w:color w:val="000000"/>
          <w:sz w:val="24"/>
          <w:lang w:eastAsia="en-US"/>
        </w:rPr>
      </w:pPr>
      <w:r>
        <w:rPr>
          <w:color w:val="000000"/>
          <w:sz w:val="24"/>
          <w:lang w:eastAsia="en-US"/>
        </w:rPr>
      </w:r>
    </w:p>
    <w:p>
      <w:pPr>
        <w:pStyle w:val="Normal"/>
        <w:rPr/>
      </w:pPr>
      <w:r>
        <w:rPr>
          <w:b/>
          <w:color w:val="000000"/>
          <w:sz w:val="24"/>
          <w:lang w:eastAsia="en-US"/>
        </w:rPr>
        <w:t>Fixed Price Payor:</w:t>
      </w:r>
      <w:r>
        <w:rPr>
          <w:color w:val="000000"/>
          <w:sz w:val="24"/>
          <w:lang w:eastAsia="en-US"/>
        </w:rPr>
        <w:tab/>
        <w:t xml:space="preserve"> Bellingham Cold Storage</w:t>
      </w:r>
    </w:p>
    <w:p>
      <w:pPr>
        <w:pStyle w:val="Normal"/>
        <w:rPr>
          <w:color w:val="000000"/>
          <w:sz w:val="24"/>
          <w:lang w:eastAsia="en-US"/>
        </w:rPr>
      </w:pPr>
      <w:r>
        <w:rPr>
          <w:color w:val="000000"/>
          <w:sz w:val="24"/>
          <w:lang w:eastAsia="en-US"/>
        </w:rPr>
      </w:r>
    </w:p>
    <w:p>
      <w:pPr>
        <w:pStyle w:val="Normal"/>
        <w:rPr/>
      </w:pPr>
      <w:r>
        <w:rPr>
          <w:b/>
          <w:color w:val="000000"/>
          <w:sz w:val="24"/>
          <w:lang w:eastAsia="en-US"/>
        </w:rPr>
        <w:t>Fixed Price:</w:t>
        <w:tab/>
        <w:tab/>
        <w:tab/>
        <w:tab/>
        <w:tab/>
        <w:tab/>
        <w:t>US Dollars</w:t>
      </w:r>
      <w:r>
        <w:rPr>
          <w:color w:val="000000"/>
          <w:sz w:val="24"/>
          <w:lang w:eastAsia="en-US"/>
        </w:rPr>
        <w:t xml:space="preserve"> </w:t>
      </w:r>
    </w:p>
    <w:p>
      <w:pPr>
        <w:pStyle w:val="Normal"/>
        <w:rPr>
          <w:color w:val="000000"/>
          <w:sz w:val="24"/>
          <w:lang w:eastAsia="en-US"/>
        </w:rPr>
      </w:pPr>
      <w:r>
        <w:rPr>
          <w:color w:val="000000"/>
          <w:sz w:val="24"/>
          <w:lang w:eastAsia="en-US"/>
        </w:rPr>
        <w:t xml:space="preserve">                  </w:t>
      </w:r>
      <w:r>
        <w:rPr>
          <w:color w:val="000000"/>
          <w:sz w:val="24"/>
          <w:lang w:eastAsia="en-US"/>
        </w:rPr>
        <w:tab/>
        <w:tab/>
        <w:t xml:space="preserve">July 2000  </w:t>
        <w:tab/>
        <w:tab/>
        <w:tab/>
        <w:t>$101.00/MWhr</w:t>
      </w:r>
    </w:p>
    <w:p>
      <w:pPr>
        <w:pStyle w:val="Heading2"/>
        <w:ind w:hanging="0" w:start="0"/>
        <w:rPr/>
      </w:pPr>
      <w:r>
        <w:rPr/>
        <w:t xml:space="preserve">                   </w:t>
      </w:r>
      <w:r>
        <w:rPr/>
        <w:tab/>
        <w:tab/>
        <w:t xml:space="preserve">August      </w:t>
        <w:tab/>
        <w:tab/>
        <w:tab/>
        <w:t>$111.50/MWhr</w:t>
      </w:r>
    </w:p>
    <w:p>
      <w:pPr>
        <w:pStyle w:val="Normal"/>
        <w:rPr>
          <w:color w:val="000000"/>
          <w:sz w:val="24"/>
          <w:lang w:eastAsia="en-US"/>
        </w:rPr>
      </w:pPr>
      <w:r>
        <w:rPr>
          <w:color w:val="000000"/>
          <w:sz w:val="24"/>
          <w:lang w:eastAsia="en-US"/>
        </w:rPr>
        <w:t xml:space="preserve">                  </w:t>
      </w:r>
      <w:r>
        <w:rPr>
          <w:color w:val="000000"/>
          <w:sz w:val="24"/>
          <w:lang w:eastAsia="en-US"/>
        </w:rPr>
        <w:tab/>
        <w:tab/>
        <w:t xml:space="preserve">September  </w:t>
        <w:tab/>
        <w:tab/>
        <w:tab/>
        <w:t>$88.50/MWhr</w:t>
      </w:r>
    </w:p>
    <w:p>
      <w:pPr>
        <w:pStyle w:val="Normal"/>
        <w:rPr>
          <w:color w:val="000000"/>
          <w:sz w:val="24"/>
          <w:lang w:eastAsia="en-US"/>
        </w:rPr>
      </w:pPr>
      <w:r>
        <w:rPr>
          <w:color w:val="000000"/>
          <w:sz w:val="24"/>
          <w:lang w:eastAsia="en-US"/>
        </w:rPr>
        <w:t xml:space="preserve">                   </w:t>
      </w:r>
      <w:r>
        <w:rPr>
          <w:color w:val="000000"/>
          <w:sz w:val="24"/>
          <w:lang w:eastAsia="en-US"/>
        </w:rPr>
        <w:tab/>
        <w:tab/>
        <w:t xml:space="preserve">October    </w:t>
        <w:tab/>
        <w:tab/>
        <w:tab/>
        <w:t>$80.50/MWhr</w:t>
      </w:r>
    </w:p>
    <w:p>
      <w:pPr>
        <w:pStyle w:val="Normal"/>
        <w:rPr>
          <w:color w:val="000000"/>
          <w:sz w:val="24"/>
          <w:lang w:eastAsia="en-US"/>
        </w:rPr>
      </w:pPr>
      <w:r>
        <w:rPr>
          <w:color w:val="000000"/>
          <w:sz w:val="24"/>
          <w:lang w:eastAsia="en-US"/>
        </w:rPr>
        <w:t xml:space="preserve">                   </w:t>
      </w:r>
      <w:r>
        <w:rPr>
          <w:color w:val="000000"/>
          <w:sz w:val="24"/>
          <w:lang w:eastAsia="en-US"/>
        </w:rPr>
        <w:tab/>
        <w:tab/>
        <w:t xml:space="preserve">November  </w:t>
        <w:tab/>
        <w:tab/>
        <w:tab/>
        <w:t>$74.00/MWhr</w:t>
      </w:r>
    </w:p>
    <w:p>
      <w:pPr>
        <w:pStyle w:val="Normal"/>
        <w:rPr>
          <w:color w:val="000000"/>
          <w:sz w:val="24"/>
          <w:lang w:eastAsia="en-US"/>
        </w:rPr>
      </w:pPr>
      <w:r>
        <w:rPr>
          <w:color w:val="000000"/>
          <w:sz w:val="24"/>
          <w:lang w:eastAsia="en-US"/>
        </w:rPr>
        <w:t xml:space="preserve">                   </w:t>
      </w:r>
      <w:r>
        <w:rPr>
          <w:color w:val="000000"/>
          <w:sz w:val="24"/>
          <w:lang w:eastAsia="en-US"/>
        </w:rPr>
        <w:tab/>
        <w:tab/>
        <w:t xml:space="preserve">December   </w:t>
        <w:tab/>
        <w:tab/>
        <w:tab/>
        <w:t>$73.00/MWhr</w:t>
      </w:r>
    </w:p>
    <w:p>
      <w:pPr>
        <w:pStyle w:val="Normal"/>
        <w:rPr>
          <w:color w:val="000000"/>
          <w:sz w:val="24"/>
          <w:lang w:eastAsia="en-US"/>
        </w:rPr>
      </w:pPr>
      <w:r>
        <w:rPr>
          <w:color w:val="000000"/>
          <w:sz w:val="24"/>
          <w:lang w:eastAsia="en-US"/>
        </w:rPr>
        <w:t xml:space="preserve">                   </w:t>
      </w:r>
      <w:r>
        <w:rPr>
          <w:color w:val="000000"/>
          <w:sz w:val="24"/>
          <w:lang w:eastAsia="en-US"/>
        </w:rPr>
        <w:tab/>
        <w:tab/>
        <w:t>January – March 2001</w:t>
        <w:tab/>
        <w:tab/>
        <w:t>$54.25/MWhr</w:t>
      </w:r>
    </w:p>
    <w:p>
      <w:pPr>
        <w:pStyle w:val="Normal"/>
        <w:ind w:firstLine="720" w:start="1440" w:end="0"/>
        <w:rPr>
          <w:color w:val="000000"/>
          <w:sz w:val="24"/>
          <w:lang w:eastAsia="en-US"/>
        </w:rPr>
      </w:pPr>
      <w:r>
        <w:rPr>
          <w:color w:val="000000"/>
          <w:sz w:val="24"/>
          <w:lang w:eastAsia="en-US"/>
        </w:rPr>
        <w:t>April – June</w:t>
        <w:tab/>
        <w:tab/>
        <w:tab/>
        <w:t>$43.00/MWhr</w:t>
      </w:r>
    </w:p>
    <w:p>
      <w:pPr>
        <w:pStyle w:val="Normal"/>
        <w:ind w:firstLine="720" w:start="1440" w:end="0"/>
        <w:rPr>
          <w:color w:val="000000"/>
          <w:sz w:val="24"/>
          <w:lang w:eastAsia="en-US"/>
        </w:rPr>
      </w:pPr>
      <w:r>
        <w:rPr>
          <w:color w:val="000000"/>
          <w:sz w:val="24"/>
          <w:lang w:eastAsia="en-US"/>
        </w:rPr>
        <w:t>July - September</w:t>
        <w:tab/>
        <w:tab/>
        <w:t>$92.00/MWhr</w:t>
      </w:r>
    </w:p>
    <w:p>
      <w:pPr>
        <w:pStyle w:val="Normal"/>
        <w:ind w:firstLine="720" w:start="1440" w:end="0"/>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ab/>
        <w:tab/>
        <w:tab/>
      </w:r>
    </w:p>
    <w:p>
      <w:pPr>
        <w:pStyle w:val="Normal"/>
        <w:rPr/>
      </w:pPr>
      <w:r>
        <w:rPr>
          <w:b/>
          <w:color w:val="000000"/>
          <w:sz w:val="24"/>
          <w:lang w:eastAsia="en-US"/>
        </w:rPr>
        <w:t>Floating Price Payor:</w:t>
      </w:r>
      <w:r>
        <w:rPr>
          <w:color w:val="000000"/>
          <w:sz w:val="24"/>
          <w:lang w:eastAsia="en-US"/>
        </w:rPr>
        <w:tab/>
        <w:t>Enron North America</w:t>
      </w:r>
    </w:p>
    <w:p>
      <w:pPr>
        <w:pStyle w:val="Normal"/>
        <w:rPr>
          <w:color w:val="000000"/>
          <w:sz w:val="24"/>
          <w:lang w:eastAsia="en-US"/>
        </w:rPr>
      </w:pPr>
      <w:r>
        <w:rPr>
          <w:color w:val="000000"/>
          <w:sz w:val="24"/>
          <w:lang w:eastAsia="en-US"/>
        </w:rPr>
        <w:tab/>
      </w:r>
    </w:p>
    <w:p>
      <w:pPr>
        <w:pStyle w:val="Normal"/>
        <w:rPr>
          <w:b/>
          <w:color w:val="000000"/>
          <w:sz w:val="24"/>
          <w:lang w:eastAsia="en-US"/>
        </w:rPr>
      </w:pPr>
      <w:r>
        <w:rPr>
          <w:b/>
          <w:color w:val="000000"/>
          <w:sz w:val="24"/>
          <w:lang w:eastAsia="en-US"/>
        </w:rPr>
        <w:t>Floating  Price:</w:t>
      </w:r>
    </w:p>
    <w:p>
      <w:pPr>
        <w:pStyle w:val="Normal"/>
        <w:rPr>
          <w:b/>
          <w:color w:val="000000"/>
          <w:sz w:val="24"/>
          <w:lang w:eastAsia="en-US"/>
        </w:rPr>
      </w:pPr>
      <w:r>
        <w:rPr>
          <w:b/>
          <w:color w:val="000000"/>
          <w:sz w:val="24"/>
          <w:lang w:eastAsia="en-US"/>
        </w:rPr>
      </w:r>
    </w:p>
    <w:p>
      <w:pPr>
        <w:pStyle w:val="Normal"/>
        <w:rPr>
          <w:color w:val="000000"/>
          <w:sz w:val="24"/>
          <w:lang w:eastAsia="en-US"/>
        </w:rPr>
      </w:pPr>
      <w:r>
        <w:rPr>
          <w:color w:val="000000"/>
          <w:sz w:val="24"/>
          <w:lang w:eastAsia="en-US"/>
        </w:rPr>
        <w:t>The Floating Price for each Determination Period shall be calculated utilizing the Mid-Columbia Electricity Price Index as published by Dow Jones &amp; Company, Inc. or its successor in The Wall Street Journal or any successor publication, printed version, defined herein as the “Floating Price Source”, pursuant to the formula set forth below:</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The Monthly Floating Price shall be the arithmetic average of the Daily Floating Prices, as defined below, where:</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The “Daily Floating Price” for all days except Sunday shall be the volume weighted average price for the 24 hours in the day according to the following formula:</w:t>
      </w:r>
    </w:p>
    <w:p>
      <w:pPr>
        <w:pStyle w:val="Normal"/>
        <w:rPr>
          <w:color w:val="000000"/>
          <w:sz w:val="24"/>
          <w:lang w:eastAsia="en-US"/>
        </w:rPr>
      </w:pPr>
      <w:r>
        <w:rPr>
          <w:color w:val="000000"/>
          <w:sz w:val="24"/>
          <w:lang w:eastAsia="en-US"/>
        </w:rPr>
      </w:r>
    </w:p>
    <w:p>
      <w:pPr>
        <w:pStyle w:val="Normal"/>
        <w:rPr/>
      </w:pPr>
      <w:r>
        <w:rPr>
          <w:color w:val="000000"/>
          <w:sz w:val="24"/>
          <w:lang w:eastAsia="en-US"/>
        </w:rPr>
        <w:t xml:space="preserve">Daily Floating Price = </w:t>
      </w:r>
      <w:r>
        <w:rPr>
          <w:color w:val="000000"/>
          <w:sz w:val="24"/>
          <w:u w:val="single"/>
          <w:lang w:eastAsia="en-US"/>
        </w:rPr>
        <w:t>(16 hours * X)+(8 hours * Y)</w:t>
      </w:r>
    </w:p>
    <w:p>
      <w:pPr>
        <w:pStyle w:val="Normal"/>
        <w:rPr>
          <w:color w:val="000000"/>
          <w:sz w:val="24"/>
          <w:lang w:eastAsia="en-US"/>
        </w:rPr>
      </w:pPr>
      <w:r>
        <w:rPr>
          <w:color w:val="000000"/>
          <w:sz w:val="24"/>
          <w:lang w:eastAsia="en-US"/>
        </w:rPr>
        <w:t xml:space="preserve">                                                   </w:t>
      </w:r>
      <w:r>
        <w:rPr>
          <w:color w:val="000000"/>
          <w:sz w:val="24"/>
          <w:lang w:eastAsia="en-US"/>
        </w:rPr>
        <w:t>24 Hours</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Where,</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 xml:space="preserve">X = The Firm On Peak Price </w:t>
      </w:r>
    </w:p>
    <w:p>
      <w:pPr>
        <w:pStyle w:val="Normal"/>
        <w:rPr>
          <w:color w:val="000000"/>
          <w:sz w:val="24"/>
          <w:lang w:eastAsia="en-US"/>
        </w:rPr>
      </w:pPr>
      <w:r>
        <w:rPr>
          <w:color w:val="000000"/>
          <w:sz w:val="24"/>
          <w:lang w:eastAsia="en-US"/>
        </w:rPr>
        <w:t>Y = The Firm Off Peak Price</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The “Daily Floating Price” for all Sundays shall be the Sunday 24-Hour Firm index price</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If there are no data reported for any component in the formula above, the volume or index prices for such components shall be determined as a weighted average of the volume and/or index price as published on the next reported day. In the event that in any period of three (3) consecutive days, there is no volume or index price available for either the entire On Peak or Off Peak components, the volume or index price components for such period shall be determined in accordance with Paragraph 7 of Annex A attached hereto.</w:t>
      </w:r>
    </w:p>
    <w:p>
      <w:pPr>
        <w:pStyle w:val="Normal"/>
        <w:rPr>
          <w:color w:val="000000"/>
          <w:sz w:val="24"/>
          <w:lang w:eastAsia="en-US"/>
        </w:rPr>
      </w:pPr>
      <w:r>
        <w:rPr>
          <w:color w:val="000000"/>
          <w:sz w:val="24"/>
          <w:lang w:eastAsia="en-US"/>
        </w:rPr>
      </w:r>
    </w:p>
    <w:p>
      <w:pPr>
        <w:pStyle w:val="Normal"/>
        <w:rPr/>
      </w:pPr>
      <w:r>
        <w:rPr>
          <w:b/>
          <w:color w:val="000000"/>
          <w:sz w:val="24"/>
          <w:lang w:eastAsia="en-US"/>
        </w:rPr>
        <w:t>Corrections to Published Prices:</w:t>
      </w:r>
      <w:r>
        <w:rPr>
          <w:color w:val="000000"/>
          <w:sz w:val="24"/>
          <w:lang w:eastAsia="en-US"/>
        </w:rPr>
        <w:tab/>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30 calendar days of the original publication or announcement, either party may notify the other party of (i) that correction and (ii) the amount (if any) that is payable as a result of that correction.  If, not later than 30 calendar days after publication or announcement of that correction, a party gives notice that an amount is so payable, the party that originally either received or retained such amount will, not later than 3 Business Days after the effectiveness of that notice, pay, subject to any applicable conditions precedent, to the other party that amount, together with interest on that amount (at a rate per annum that ENA determines to be the spot offered rate for deposits in the payment currency in the London interbank market as at approximately 11:00 a.m., London time, on the relevant Payment Date) for the period from and including the day on which a payment originally was (or was not) made to but excluding the day of payment of the refund or payment resulting from that correction.</w:t>
      </w:r>
    </w:p>
    <w:p>
      <w:pPr>
        <w:pStyle w:val="Normal"/>
        <w:rPr>
          <w:color w:val="000000"/>
          <w:sz w:val="24"/>
          <w:lang w:eastAsia="en-US"/>
        </w:rPr>
      </w:pPr>
      <w:r>
        <w:rPr>
          <w:color w:val="000000"/>
          <w:sz w:val="24"/>
          <w:lang w:eastAsia="en-US"/>
        </w:rPr>
        <w:tab/>
      </w:r>
    </w:p>
    <w:p>
      <w:pPr>
        <w:pStyle w:val="Normal"/>
        <w:rPr/>
      </w:pPr>
      <w:r>
        <w:rPr>
          <w:b/>
          <w:color w:val="000000"/>
          <w:sz w:val="24"/>
          <w:lang w:eastAsia="en-US"/>
        </w:rPr>
        <w:t>Settlements:</w:t>
      </w:r>
      <w:r>
        <w:rPr>
          <w:color w:val="000000"/>
          <w:sz w:val="24"/>
          <w:lang w:eastAsia="en-US"/>
        </w:rPr>
        <w:tab/>
        <w:t>On or prior to the 5th Business Day of the month following the Determination Period, ENA shall promptly determine the Floating Amount for the relevant Determination Period and prepare and deliver to BELLINGHAM COLD STORAGE via facsimile a statement indicating the Daily Floating Price for each day of the relevant Determination Period, the monthly average of such Daily Floating Prices for the relevant Determination Period, and the amount, if any, that ENA owes or is owed with respect to this Transaction.</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r>
    </w:p>
    <w:p>
      <w:pPr>
        <w:pStyle w:val="BodyText"/>
        <w:rPr>
          <w:i/>
          <w:i/>
        </w:rPr>
      </w:pPr>
      <w:r>
        <w:rPr>
          <w:i/>
        </w:rPr>
        <w:t>This proposal is for discussion purposes only to facilitate the negotiation, preparation and execution of a definitive agreement.  It is not intended to create a binding or enforceable contract or to be complete and all inclusive of the terms of the related transaction.  This is not an offer or a commitment of Williams.  The transaction described herein is subject to further review and approval of Williams and execution of definitive agreements containing all appropriate provisions.</w:t>
      </w:r>
    </w:p>
    <w:p>
      <w:pPr>
        <w:pStyle w:val="Normal"/>
        <w:rPr>
          <w:i/>
          <w:i/>
          <w:color w:val="000000"/>
          <w:sz w:val="24"/>
          <w:lang w:eastAsia="en-US"/>
        </w:rPr>
      </w:pPr>
      <w:r>
        <w:rPr>
          <w:i/>
          <w:color w:val="000000"/>
          <w:sz w:val="24"/>
          <w:lang w:eastAsia="en-US"/>
        </w:rPr>
      </w:r>
    </w:p>
    <w:p>
      <w:pPr>
        <w:pStyle w:val="Normal"/>
        <w:rPr>
          <w:i/>
          <w:i/>
          <w:color w:val="000000"/>
          <w:sz w:val="24"/>
          <w:lang w:eastAsia="en-US"/>
        </w:rPr>
      </w:pPr>
      <w:r>
        <w:rPr>
          <w:i/>
          <w:color w:val="000000"/>
          <w:sz w:val="24"/>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color w:val="000000"/>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2000-07-05T14:53:00Z</dcterms:created>
  <dc:creator>cfoster</dc:creator>
  <dc:description/>
  <dc:language>en-CA</dc:language>
  <cp:lastModifiedBy>cfoster</cp:lastModifiedBy>
  <dcterms:modified xsi:type="dcterms:W3CDTF">2000-07-05T15:01:00Z</dcterms:modified>
  <cp:revision>4</cp:revision>
  <dc:subject/>
  <dc:title>Bellingham Cold Storage</dc:title>
</cp:coreProperties>
</file>