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Belgium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r>
        <w:rPr/>
        <w:t xml:space="preserve"> </w:t>
      </w:r>
    </w:p>
    <w:p>
      <w:pPr>
        <w:pStyle w:val="Normal"/>
        <w:jc w:val="both"/>
        <w:rPr/>
      </w:pPr>
      <w:r>
        <w:rPr/>
        <w:t>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t>(h)</w:t>
        <w:tab/>
        <w:t>In respect of derivatives products, Counterparty is entering into each Transaction exclusively to hedge its operational and commercial risks. Counterparty further represents to Enron that, in entering into Transactions, it is not doing so either as a means of investment or as a means of hedging investment risk or as a means of speculation.</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English law and the parties hereby submit to the exclusive jurisdiction of the English Courts. This Agreement is deemed to be executed in England.</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1999-11-04T07:58:00Z</dcterms:created>
  <dc:creator>NEdmonds</dc:creator>
  <dc:description/>
  <dc:language>en-CA</dc:language>
  <cp:lastModifiedBy>NEdmonds</cp:lastModifiedBy>
  <dcterms:modified xsi:type="dcterms:W3CDTF">1999-11-04T07:58:00Z</dcterms:modified>
  <cp:revision>2</cp:revision>
  <dc:subject/>
  <dc:title>Belgium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