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DRAFT MINUTES OF THE ERCOT BOARD OF DIRECTORS MEETING</w:t>
      </w:r>
    </w:p>
    <w:p>
      <w:pPr>
        <w:pStyle w:val="Subtitle"/>
        <w:bidi w:val="0"/>
        <w:rPr>
          <w:rFonts w:ascii="Times New Roman" w:hAnsi="Times New Roman"/>
          <w:b w:val="false"/>
        </w:rPr>
      </w:pPr>
      <w:r>
        <w:rPr/>
        <w:t>Omni Southpark Hotel</w:t>
      </w:r>
    </w:p>
    <w:p>
      <w:pPr>
        <w:pStyle w:val="Normal"/>
        <w:bidi w:val="0"/>
        <w:jc w:val="center"/>
        <w:rPr>
          <w:b/>
          <w:sz w:val="22"/>
        </w:rPr>
      </w:pPr>
      <w:r>
        <w:rPr>
          <w:b/>
          <w:sz w:val="22"/>
        </w:rPr>
        <w:t>Austin, Texas</w:t>
      </w:r>
    </w:p>
    <w:p>
      <w:pPr>
        <w:pStyle w:val="Normal"/>
        <w:bidi w:val="0"/>
        <w:jc w:val="center"/>
        <w:rPr>
          <w:b/>
          <w:sz w:val="22"/>
        </w:rPr>
      </w:pPr>
      <w:r>
        <w:rPr>
          <w:b/>
          <w:sz w:val="22"/>
        </w:rPr>
        <w:t>10:00 a.m.</w:t>
      </w:r>
    </w:p>
    <w:p>
      <w:pPr>
        <w:pStyle w:val="Normal"/>
        <w:bidi w:val="0"/>
        <w:jc w:val="center"/>
        <w:rPr>
          <w:b/>
          <w:sz w:val="22"/>
        </w:rPr>
      </w:pPr>
      <w:r>
        <w:rPr>
          <w:b/>
          <w:sz w:val="22"/>
        </w:rPr>
        <w:t>November 21, 2000</w:t>
      </w:r>
    </w:p>
    <w:p>
      <w:pPr>
        <w:pStyle w:val="Normal"/>
        <w:bidi w:val="0"/>
        <w:jc w:val="center"/>
        <w:rPr>
          <w:b/>
          <w:sz w:val="22"/>
        </w:rPr>
      </w:pPr>
      <w:r>
        <w:rPr>
          <w:b/>
          <w:sz w:val="22"/>
        </w:rPr>
      </w:r>
    </w:p>
    <w:p>
      <w:pPr>
        <w:pStyle w:val="Normal"/>
        <w:bidi w:val="0"/>
        <w:jc w:val="center"/>
        <w:rPr>
          <w:b/>
          <w:sz w:val="22"/>
        </w:rPr>
      </w:pPr>
      <w:r>
        <w:rPr>
          <w:b/>
          <w:sz w:val="22"/>
        </w:rPr>
      </w:r>
    </w:p>
    <w:p>
      <w:pPr>
        <w:pStyle w:val="Normal"/>
        <w:bidi w:val="0"/>
        <w:jc w:val="both"/>
        <w:rPr>
          <w:sz w:val="22"/>
        </w:rPr>
      </w:pPr>
      <w:r>
        <w:rPr>
          <w:sz w:val="22"/>
        </w:rPr>
        <w:t>Pursuant to notice duly given, the meeting of the Board of Directors of the Electric Reliability Council of Texas, Inc. convened at 10:00 a.m. on November 21, 2000.</w:t>
      </w:r>
    </w:p>
    <w:p>
      <w:pPr>
        <w:pStyle w:val="Normal"/>
        <w:bidi w:val="0"/>
        <w:jc w:val="both"/>
        <w:rPr>
          <w:sz w:val="22"/>
        </w:rPr>
      </w:pPr>
      <w:r>
        <w:rPr>
          <w:sz w:val="22"/>
        </w:rPr>
      </w:r>
    </w:p>
    <w:p>
      <w:pPr>
        <w:pStyle w:val="Normal"/>
        <w:bidi w:val="0"/>
        <w:jc w:val="both"/>
        <w:rPr>
          <w:sz w:val="22"/>
        </w:rPr>
      </w:pPr>
      <w:r>
        <w:rPr>
          <w:sz w:val="22"/>
        </w:rPr>
        <w:t xml:space="preserve">The meeting was called to order by Chairman David McClanahan who ascertained that a quorum was present. </w:t>
      </w:r>
    </w:p>
    <w:p>
      <w:pPr>
        <w:pStyle w:val="Normal"/>
        <w:bidi w:val="0"/>
        <w:jc w:val="both"/>
        <w:rPr>
          <w:sz w:val="22"/>
        </w:rPr>
      </w:pPr>
      <w:r>
        <w:rPr>
          <w:sz w:val="22"/>
        </w:rPr>
      </w:r>
    </w:p>
    <w:p>
      <w:pPr>
        <w:pStyle w:val="Normal"/>
        <w:tabs>
          <w:tab w:val="clear" w:pos="720"/>
          <w:tab w:val="left" w:pos="450" w:leader="none"/>
        </w:tabs>
        <w:bidi w:val="0"/>
        <w:jc w:val="both"/>
        <w:rPr>
          <w:sz w:val="22"/>
        </w:rPr>
      </w:pPr>
      <w:r>
        <w:rPr>
          <w:sz w:val="22"/>
        </w:rPr>
        <w:t>Board Attendance and Participants:</w:t>
      </w:r>
    </w:p>
    <w:p>
      <w:pPr>
        <w:pStyle w:val="Normal"/>
        <w:bidi w:val="0"/>
        <w:jc w:val="both"/>
        <w:rPr/>
      </w:pPr>
      <w:r>
        <w:rPr/>
      </w:r>
    </w:p>
    <w:tbl>
      <w:tblPr>
        <w:tblW w:w="8748" w:type="dxa"/>
        <w:jc w:val="start"/>
        <w:tblInd w:w="0" w:type="dxa"/>
        <w:tblLayout w:type="fixed"/>
        <w:tblCellMar>
          <w:top w:w="0" w:type="dxa"/>
          <w:start w:w="108" w:type="dxa"/>
          <w:bottom w:w="0" w:type="dxa"/>
          <w:end w:w="108" w:type="dxa"/>
        </w:tblCellMar>
      </w:tblPr>
      <w:tblGrid>
        <w:gridCol w:w="1907"/>
        <w:gridCol w:w="3510"/>
        <w:gridCol w:w="3331"/>
      </w:tblGrid>
      <w:tr>
        <w:trPr/>
        <w:tc>
          <w:tcPr>
            <w:tcW w:w="1907" w:type="dxa"/>
            <w:tcBorders/>
          </w:tcPr>
          <w:p>
            <w:pPr>
              <w:pStyle w:val="Normal"/>
              <w:tabs>
                <w:tab w:val="clear" w:pos="720"/>
              </w:tabs>
              <w:bidi w:val="0"/>
              <w:jc w:val="both"/>
              <w:rPr/>
            </w:pPr>
            <w:r>
              <w:rPr/>
              <w:t>Richard Verret</w:t>
            </w:r>
          </w:p>
        </w:tc>
        <w:tc>
          <w:tcPr>
            <w:tcW w:w="3510" w:type="dxa"/>
            <w:tcBorders/>
          </w:tcPr>
          <w:p>
            <w:pPr>
              <w:pStyle w:val="Normal"/>
              <w:tabs>
                <w:tab w:val="clear" w:pos="720"/>
              </w:tabs>
              <w:bidi w:val="0"/>
              <w:jc w:val="both"/>
              <w:rPr/>
            </w:pPr>
            <w:r>
              <w:rPr/>
              <w:t>AEP</w:t>
            </w:r>
          </w:p>
        </w:tc>
        <w:tc>
          <w:tcPr>
            <w:tcW w:w="3331" w:type="dxa"/>
            <w:tcBorders/>
          </w:tcPr>
          <w:p>
            <w:pPr>
              <w:pStyle w:val="Normal"/>
              <w:tabs>
                <w:tab w:val="clear" w:pos="720"/>
              </w:tabs>
              <w:bidi w:val="0"/>
              <w:jc w:val="both"/>
              <w:rPr/>
            </w:pPr>
            <w:r>
              <w:rPr/>
              <w:t xml:space="preserve">Member </w:t>
            </w:r>
          </w:p>
        </w:tc>
      </w:tr>
      <w:tr>
        <w:trPr/>
        <w:tc>
          <w:tcPr>
            <w:tcW w:w="1907" w:type="dxa"/>
            <w:tcBorders/>
          </w:tcPr>
          <w:p>
            <w:pPr>
              <w:pStyle w:val="Normal"/>
              <w:tabs>
                <w:tab w:val="clear" w:pos="720"/>
              </w:tabs>
              <w:bidi w:val="0"/>
              <w:jc w:val="both"/>
              <w:rPr/>
            </w:pPr>
            <w:r>
              <w:rPr/>
              <w:t>Pat Wilkins</w:t>
            </w:r>
          </w:p>
        </w:tc>
        <w:tc>
          <w:tcPr>
            <w:tcW w:w="3510" w:type="dxa"/>
            <w:tcBorders/>
          </w:tcPr>
          <w:p>
            <w:pPr>
              <w:pStyle w:val="Normal"/>
              <w:tabs>
                <w:tab w:val="clear" w:pos="720"/>
              </w:tabs>
              <w:bidi w:val="0"/>
              <w:jc w:val="both"/>
              <w:rPr/>
            </w:pPr>
            <w:r>
              <w:rPr/>
              <w:t>AES Deepwater, Inc.</w:t>
            </w:r>
          </w:p>
        </w:tc>
        <w:tc>
          <w:tcPr>
            <w:tcW w:w="3331" w:type="dxa"/>
            <w:tcBorders/>
          </w:tcPr>
          <w:p>
            <w:pPr>
              <w:pStyle w:val="Normal"/>
              <w:tabs>
                <w:tab w:val="clear" w:pos="720"/>
              </w:tabs>
              <w:bidi w:val="0"/>
              <w:jc w:val="both"/>
              <w:rPr/>
            </w:pPr>
            <w:r>
              <w:rPr/>
              <w:t>Member (Representing Harshbarger)</w:t>
            </w:r>
          </w:p>
        </w:tc>
      </w:tr>
      <w:tr>
        <w:trPr/>
        <w:tc>
          <w:tcPr>
            <w:tcW w:w="1907" w:type="dxa"/>
            <w:tcBorders/>
          </w:tcPr>
          <w:p>
            <w:pPr>
              <w:pStyle w:val="Normal"/>
              <w:bidi w:val="0"/>
              <w:jc w:val="both"/>
              <w:rPr/>
            </w:pPr>
            <w:r>
              <w:rPr/>
              <w:t>Chuck Manning</w:t>
            </w:r>
          </w:p>
        </w:tc>
        <w:tc>
          <w:tcPr>
            <w:tcW w:w="3510" w:type="dxa"/>
            <w:tcBorders/>
          </w:tcPr>
          <w:p>
            <w:pPr>
              <w:pStyle w:val="Normal"/>
              <w:bidi w:val="0"/>
              <w:jc w:val="both"/>
              <w:rPr/>
            </w:pPr>
            <w:r>
              <w:rPr/>
              <w:t>Austin Energy</w:t>
            </w:r>
          </w:p>
        </w:tc>
        <w:tc>
          <w:tcPr>
            <w:tcW w:w="3331" w:type="dxa"/>
            <w:tcBorders/>
          </w:tcPr>
          <w:p>
            <w:pPr>
              <w:pStyle w:val="Normal"/>
              <w:bidi w:val="0"/>
              <w:jc w:val="both"/>
              <w:rPr/>
            </w:pPr>
            <w:r>
              <w:rPr/>
              <w:t xml:space="preserve">Member </w:t>
            </w:r>
          </w:p>
        </w:tc>
      </w:tr>
      <w:tr>
        <w:trPr/>
        <w:tc>
          <w:tcPr>
            <w:tcW w:w="1907" w:type="dxa"/>
            <w:tcBorders/>
          </w:tcPr>
          <w:p>
            <w:pPr>
              <w:pStyle w:val="Normal"/>
              <w:bidi w:val="0"/>
              <w:jc w:val="both"/>
              <w:rPr/>
            </w:pPr>
            <w:r>
              <w:rPr/>
              <w:t>Clifton Karnei</w:t>
            </w:r>
          </w:p>
        </w:tc>
        <w:tc>
          <w:tcPr>
            <w:tcW w:w="3510" w:type="dxa"/>
            <w:tcBorders/>
          </w:tcPr>
          <w:p>
            <w:pPr>
              <w:pStyle w:val="Normal"/>
              <w:bidi w:val="0"/>
              <w:jc w:val="both"/>
              <w:rPr/>
            </w:pPr>
            <w:r>
              <w:rPr/>
              <w:t>Brazos Electric Cooperative</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Darrell Hayslip</w:t>
            </w:r>
          </w:p>
        </w:tc>
        <w:tc>
          <w:tcPr>
            <w:tcW w:w="3510" w:type="dxa"/>
            <w:tcBorders/>
          </w:tcPr>
          <w:p>
            <w:pPr>
              <w:pStyle w:val="Normal"/>
              <w:bidi w:val="0"/>
              <w:jc w:val="both"/>
              <w:rPr/>
            </w:pPr>
            <w:r>
              <w:rPr/>
              <w:t>Calpine</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Milton Lee</w:t>
            </w:r>
          </w:p>
        </w:tc>
        <w:tc>
          <w:tcPr>
            <w:tcW w:w="3510" w:type="dxa"/>
            <w:tcBorders/>
          </w:tcPr>
          <w:p>
            <w:pPr>
              <w:pStyle w:val="Normal"/>
              <w:bidi w:val="0"/>
              <w:jc w:val="both"/>
              <w:rPr/>
            </w:pPr>
            <w:r>
              <w:rPr/>
              <w:t>City Public Service of San Antonio</w:t>
            </w:r>
          </w:p>
        </w:tc>
        <w:tc>
          <w:tcPr>
            <w:tcW w:w="3331" w:type="dxa"/>
            <w:tcBorders/>
          </w:tcPr>
          <w:p>
            <w:pPr>
              <w:pStyle w:val="Normal"/>
              <w:bidi w:val="0"/>
              <w:jc w:val="both"/>
              <w:rPr/>
            </w:pPr>
            <w:r>
              <w:rPr/>
              <w:t>Member (Representing Rochelle)</w:t>
            </w:r>
          </w:p>
        </w:tc>
      </w:tr>
      <w:tr>
        <w:trPr/>
        <w:tc>
          <w:tcPr>
            <w:tcW w:w="1907" w:type="dxa"/>
            <w:tcBorders/>
          </w:tcPr>
          <w:p>
            <w:pPr>
              <w:pStyle w:val="Normal"/>
              <w:bidi w:val="0"/>
              <w:jc w:val="both"/>
              <w:rPr/>
            </w:pPr>
            <w:r>
              <w:rPr/>
              <w:t>John Stauffacher</w:t>
            </w:r>
          </w:p>
        </w:tc>
        <w:tc>
          <w:tcPr>
            <w:tcW w:w="3510" w:type="dxa"/>
            <w:tcBorders/>
          </w:tcPr>
          <w:p>
            <w:pPr>
              <w:pStyle w:val="Normal"/>
              <w:bidi w:val="0"/>
              <w:jc w:val="both"/>
              <w:rPr/>
            </w:pPr>
            <w:r>
              <w:rPr/>
              <w:t>Dynegy</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Tom Noel</w:t>
            </w:r>
          </w:p>
        </w:tc>
        <w:tc>
          <w:tcPr>
            <w:tcW w:w="3510" w:type="dxa"/>
            <w:tcBorders/>
          </w:tcPr>
          <w:p>
            <w:pPr>
              <w:pStyle w:val="Normal"/>
              <w:bidi w:val="0"/>
              <w:jc w:val="both"/>
              <w:rPr/>
            </w:pPr>
            <w:r>
              <w:rPr/>
              <w:t>ERCOT</w:t>
            </w:r>
          </w:p>
        </w:tc>
        <w:tc>
          <w:tcPr>
            <w:tcW w:w="3331" w:type="dxa"/>
            <w:tcBorders/>
          </w:tcPr>
          <w:p>
            <w:pPr>
              <w:pStyle w:val="Normal"/>
              <w:bidi w:val="0"/>
              <w:jc w:val="both"/>
              <w:rPr/>
            </w:pPr>
            <w:r>
              <w:rPr/>
              <w:t>CEO</w:t>
            </w:r>
          </w:p>
        </w:tc>
      </w:tr>
      <w:tr>
        <w:trPr/>
        <w:tc>
          <w:tcPr>
            <w:tcW w:w="1907" w:type="dxa"/>
            <w:tcBorders/>
          </w:tcPr>
          <w:p>
            <w:pPr>
              <w:pStyle w:val="Normal"/>
              <w:bidi w:val="0"/>
              <w:jc w:val="both"/>
              <w:rPr/>
            </w:pPr>
            <w:r>
              <w:rPr/>
              <w:t>Bill Bojorquez</w:t>
            </w:r>
          </w:p>
        </w:tc>
        <w:tc>
          <w:tcPr>
            <w:tcW w:w="3510" w:type="dxa"/>
            <w:tcBorders/>
          </w:tcPr>
          <w:p>
            <w:pPr>
              <w:pStyle w:val="Normal"/>
              <w:bidi w:val="0"/>
              <w:jc w:val="both"/>
              <w:rPr/>
            </w:pPr>
            <w:r>
              <w:rPr/>
              <w:t>ERCOT</w:t>
            </w:r>
          </w:p>
        </w:tc>
        <w:tc>
          <w:tcPr>
            <w:tcW w:w="3331" w:type="dxa"/>
            <w:tcBorders/>
          </w:tcPr>
          <w:p>
            <w:pPr>
              <w:pStyle w:val="Normal"/>
              <w:bidi w:val="0"/>
              <w:jc w:val="both"/>
              <w:rPr/>
            </w:pPr>
            <w:r>
              <w:rPr/>
              <w:t>Staff</w:t>
            </w:r>
          </w:p>
        </w:tc>
      </w:tr>
      <w:tr>
        <w:trPr/>
        <w:tc>
          <w:tcPr>
            <w:tcW w:w="1907" w:type="dxa"/>
            <w:tcBorders/>
          </w:tcPr>
          <w:p>
            <w:pPr>
              <w:pStyle w:val="Normal"/>
              <w:bidi w:val="0"/>
              <w:jc w:val="both"/>
              <w:rPr/>
            </w:pPr>
            <w:r>
              <w:rPr/>
              <w:t>Larry Grimm</w:t>
            </w:r>
          </w:p>
        </w:tc>
        <w:tc>
          <w:tcPr>
            <w:tcW w:w="3510" w:type="dxa"/>
            <w:tcBorders/>
          </w:tcPr>
          <w:p>
            <w:pPr>
              <w:pStyle w:val="Normal"/>
              <w:bidi w:val="0"/>
              <w:jc w:val="both"/>
              <w:rPr/>
            </w:pPr>
            <w:r>
              <w:rPr/>
              <w:t>ERCOT</w:t>
            </w:r>
          </w:p>
        </w:tc>
        <w:tc>
          <w:tcPr>
            <w:tcW w:w="3331" w:type="dxa"/>
            <w:tcBorders/>
          </w:tcPr>
          <w:p>
            <w:pPr>
              <w:pStyle w:val="Normal"/>
              <w:bidi w:val="0"/>
              <w:jc w:val="both"/>
              <w:rPr/>
            </w:pPr>
            <w:r>
              <w:rPr/>
              <w:t>Staff</w:t>
            </w:r>
          </w:p>
        </w:tc>
      </w:tr>
      <w:tr>
        <w:trPr/>
        <w:tc>
          <w:tcPr>
            <w:tcW w:w="1907" w:type="dxa"/>
            <w:tcBorders/>
          </w:tcPr>
          <w:p>
            <w:pPr>
              <w:pStyle w:val="Normal"/>
              <w:bidi w:val="0"/>
              <w:jc w:val="both"/>
              <w:rPr/>
            </w:pPr>
            <w:r>
              <w:rPr/>
              <w:t>David Kasper</w:t>
            </w:r>
          </w:p>
        </w:tc>
        <w:tc>
          <w:tcPr>
            <w:tcW w:w="3510" w:type="dxa"/>
            <w:tcBorders/>
          </w:tcPr>
          <w:p>
            <w:pPr>
              <w:pStyle w:val="Normal"/>
              <w:bidi w:val="0"/>
              <w:jc w:val="both"/>
              <w:rPr/>
            </w:pPr>
            <w:r>
              <w:rPr/>
              <w:t>ERCOT</w:t>
            </w:r>
          </w:p>
        </w:tc>
        <w:tc>
          <w:tcPr>
            <w:tcW w:w="3331" w:type="dxa"/>
            <w:tcBorders/>
          </w:tcPr>
          <w:p>
            <w:pPr>
              <w:pStyle w:val="Normal"/>
              <w:bidi w:val="0"/>
              <w:jc w:val="both"/>
              <w:rPr/>
            </w:pPr>
            <w:r>
              <w:rPr/>
              <w:t>Staff</w:t>
            </w:r>
          </w:p>
        </w:tc>
      </w:tr>
      <w:tr>
        <w:trPr/>
        <w:tc>
          <w:tcPr>
            <w:tcW w:w="1907" w:type="dxa"/>
            <w:tcBorders/>
          </w:tcPr>
          <w:p>
            <w:pPr>
              <w:pStyle w:val="Normal"/>
              <w:bidi w:val="0"/>
              <w:jc w:val="both"/>
              <w:rPr/>
            </w:pPr>
            <w:r>
              <w:rPr/>
              <w:t>Sam Jones</w:t>
            </w:r>
          </w:p>
        </w:tc>
        <w:tc>
          <w:tcPr>
            <w:tcW w:w="3510" w:type="dxa"/>
            <w:tcBorders/>
          </w:tcPr>
          <w:p>
            <w:pPr>
              <w:pStyle w:val="Normal"/>
              <w:bidi w:val="0"/>
              <w:jc w:val="both"/>
              <w:rPr/>
            </w:pPr>
            <w:r>
              <w:rPr/>
              <w:t xml:space="preserve">ERCOT </w:t>
            </w:r>
          </w:p>
        </w:tc>
        <w:tc>
          <w:tcPr>
            <w:tcW w:w="3331" w:type="dxa"/>
            <w:tcBorders/>
          </w:tcPr>
          <w:p>
            <w:pPr>
              <w:pStyle w:val="Normal"/>
              <w:bidi w:val="0"/>
              <w:jc w:val="both"/>
              <w:rPr/>
            </w:pPr>
            <w:r>
              <w:rPr/>
              <w:t>Staff</w:t>
            </w:r>
          </w:p>
        </w:tc>
      </w:tr>
      <w:tr>
        <w:trPr/>
        <w:tc>
          <w:tcPr>
            <w:tcW w:w="1907" w:type="dxa"/>
            <w:tcBorders/>
          </w:tcPr>
          <w:p>
            <w:pPr>
              <w:pStyle w:val="Normal"/>
              <w:bidi w:val="0"/>
              <w:jc w:val="both"/>
              <w:rPr/>
            </w:pPr>
            <w:r>
              <w:rPr/>
              <w:t>Margaret Pemberton</w:t>
            </w:r>
          </w:p>
        </w:tc>
        <w:tc>
          <w:tcPr>
            <w:tcW w:w="3510" w:type="dxa"/>
            <w:tcBorders/>
          </w:tcPr>
          <w:p>
            <w:pPr>
              <w:pStyle w:val="Normal"/>
              <w:bidi w:val="0"/>
              <w:jc w:val="both"/>
              <w:rPr/>
            </w:pPr>
            <w:r>
              <w:rPr/>
              <w:t>ERCOT</w:t>
            </w:r>
          </w:p>
        </w:tc>
        <w:tc>
          <w:tcPr>
            <w:tcW w:w="3331" w:type="dxa"/>
            <w:tcBorders/>
          </w:tcPr>
          <w:p>
            <w:pPr>
              <w:pStyle w:val="Normal"/>
              <w:bidi w:val="0"/>
              <w:jc w:val="both"/>
              <w:rPr/>
            </w:pPr>
            <w:r>
              <w:rPr/>
              <w:t>Staff</w:t>
            </w:r>
          </w:p>
        </w:tc>
      </w:tr>
      <w:tr>
        <w:trPr/>
        <w:tc>
          <w:tcPr>
            <w:tcW w:w="1907" w:type="dxa"/>
            <w:tcBorders/>
          </w:tcPr>
          <w:p>
            <w:pPr>
              <w:pStyle w:val="Normal"/>
              <w:bidi w:val="0"/>
              <w:jc w:val="both"/>
              <w:rPr/>
            </w:pPr>
            <w:r>
              <w:rPr/>
              <w:t>Jim Harder</w:t>
            </w:r>
          </w:p>
        </w:tc>
        <w:tc>
          <w:tcPr>
            <w:tcW w:w="3510" w:type="dxa"/>
            <w:tcBorders/>
          </w:tcPr>
          <w:p>
            <w:pPr>
              <w:pStyle w:val="Normal"/>
              <w:bidi w:val="0"/>
              <w:jc w:val="both"/>
              <w:rPr/>
            </w:pPr>
            <w:r>
              <w:rPr/>
              <w:t>Garland Power &amp; Light</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Tom Darte</w:t>
            </w:r>
          </w:p>
        </w:tc>
        <w:tc>
          <w:tcPr>
            <w:tcW w:w="3510" w:type="dxa"/>
            <w:tcBorders/>
          </w:tcPr>
          <w:p>
            <w:pPr>
              <w:pStyle w:val="Normal"/>
              <w:bidi w:val="0"/>
              <w:jc w:val="both"/>
              <w:rPr/>
            </w:pPr>
            <w:r>
              <w:rPr/>
              <w:t>GEUS</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Bob Manning</w:t>
            </w:r>
          </w:p>
        </w:tc>
        <w:tc>
          <w:tcPr>
            <w:tcW w:w="3510" w:type="dxa"/>
            <w:tcBorders/>
          </w:tcPr>
          <w:p>
            <w:pPr>
              <w:pStyle w:val="Normal"/>
              <w:bidi w:val="0"/>
              <w:jc w:val="both"/>
              <w:rPr/>
            </w:pPr>
            <w:r>
              <w:rPr/>
              <w:t>HEB Grocery</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Joe Beal</w:t>
            </w:r>
          </w:p>
        </w:tc>
        <w:tc>
          <w:tcPr>
            <w:tcW w:w="3510" w:type="dxa"/>
            <w:tcBorders/>
          </w:tcPr>
          <w:p>
            <w:pPr>
              <w:pStyle w:val="Normal"/>
              <w:bidi w:val="0"/>
              <w:jc w:val="both"/>
              <w:rPr/>
            </w:pPr>
            <w:r>
              <w:rPr/>
              <w:t>Lower Colorado River Authority</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Bob Merett</w:t>
            </w:r>
          </w:p>
        </w:tc>
        <w:tc>
          <w:tcPr>
            <w:tcW w:w="3510" w:type="dxa"/>
            <w:tcBorders/>
          </w:tcPr>
          <w:p>
            <w:pPr>
              <w:pStyle w:val="Normal"/>
              <w:bidi w:val="0"/>
              <w:jc w:val="both"/>
              <w:rPr/>
            </w:pPr>
            <w:r>
              <w:rPr/>
              <w:t>Magic Valley Electric Cooperative</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Laurie Pappas</w:t>
            </w:r>
          </w:p>
        </w:tc>
        <w:tc>
          <w:tcPr>
            <w:tcW w:w="3510" w:type="dxa"/>
            <w:tcBorders/>
          </w:tcPr>
          <w:p>
            <w:pPr>
              <w:pStyle w:val="Normal"/>
              <w:bidi w:val="0"/>
              <w:jc w:val="both"/>
              <w:rPr/>
            </w:pPr>
            <w:r>
              <w:rPr/>
              <w:t>Office of Public Utility Counsel</w:t>
            </w:r>
          </w:p>
        </w:tc>
        <w:tc>
          <w:tcPr>
            <w:tcW w:w="3331" w:type="dxa"/>
            <w:tcBorders/>
          </w:tcPr>
          <w:p>
            <w:pPr>
              <w:pStyle w:val="Normal"/>
              <w:bidi w:val="0"/>
              <w:jc w:val="both"/>
              <w:rPr/>
            </w:pPr>
            <w:r>
              <w:rPr/>
              <w:t>Member (Representing McClellan)</w:t>
            </w:r>
          </w:p>
        </w:tc>
      </w:tr>
      <w:tr>
        <w:trPr/>
        <w:tc>
          <w:tcPr>
            <w:tcW w:w="1907" w:type="dxa"/>
            <w:tcBorders/>
          </w:tcPr>
          <w:p>
            <w:pPr>
              <w:pStyle w:val="Normal"/>
              <w:bidi w:val="0"/>
              <w:jc w:val="both"/>
              <w:rPr/>
            </w:pPr>
            <w:r>
              <w:rPr/>
              <w:t>Ron Lanclos</w:t>
            </w:r>
          </w:p>
        </w:tc>
        <w:tc>
          <w:tcPr>
            <w:tcW w:w="3510" w:type="dxa"/>
            <w:tcBorders/>
          </w:tcPr>
          <w:p>
            <w:pPr>
              <w:pStyle w:val="Normal"/>
              <w:bidi w:val="0"/>
              <w:jc w:val="both"/>
              <w:rPr/>
            </w:pPr>
            <w:r>
              <w:rPr/>
              <w:t>OxyPermian LTD/TIEC</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Bob Wittmeyer</w:t>
            </w:r>
          </w:p>
        </w:tc>
        <w:tc>
          <w:tcPr>
            <w:tcW w:w="3510" w:type="dxa"/>
            <w:tcBorders/>
          </w:tcPr>
          <w:p>
            <w:pPr>
              <w:pStyle w:val="Normal"/>
              <w:bidi w:val="0"/>
              <w:jc w:val="both"/>
              <w:rPr/>
            </w:pPr>
            <w:r>
              <w:rPr/>
              <w:t>PanCanadian</w:t>
            </w:r>
          </w:p>
        </w:tc>
        <w:tc>
          <w:tcPr>
            <w:tcW w:w="3331" w:type="dxa"/>
            <w:tcBorders/>
          </w:tcPr>
          <w:p>
            <w:pPr>
              <w:pStyle w:val="Normal"/>
              <w:bidi w:val="0"/>
              <w:jc w:val="both"/>
              <w:rPr/>
            </w:pPr>
            <w:r>
              <w:rPr/>
              <w:t>Member (Representing Hutchins)</w:t>
            </w:r>
          </w:p>
        </w:tc>
      </w:tr>
      <w:tr>
        <w:trPr/>
        <w:tc>
          <w:tcPr>
            <w:tcW w:w="1907" w:type="dxa"/>
            <w:tcBorders/>
          </w:tcPr>
          <w:p>
            <w:pPr>
              <w:pStyle w:val="Normal"/>
              <w:bidi w:val="0"/>
              <w:jc w:val="both"/>
              <w:rPr/>
            </w:pPr>
            <w:r>
              <w:rPr/>
              <w:t>Jack Hawks</w:t>
            </w:r>
          </w:p>
        </w:tc>
        <w:tc>
          <w:tcPr>
            <w:tcW w:w="3510" w:type="dxa"/>
            <w:tcBorders/>
          </w:tcPr>
          <w:p>
            <w:pPr>
              <w:pStyle w:val="Normal"/>
              <w:bidi w:val="0"/>
              <w:jc w:val="both"/>
              <w:rPr/>
            </w:pPr>
            <w:r>
              <w:rPr/>
              <w:t>PG&amp;E</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Bill Newman</w:t>
            </w:r>
          </w:p>
        </w:tc>
        <w:tc>
          <w:tcPr>
            <w:tcW w:w="3510" w:type="dxa"/>
            <w:tcBorders/>
          </w:tcPr>
          <w:p>
            <w:pPr>
              <w:pStyle w:val="Normal"/>
              <w:bidi w:val="0"/>
              <w:jc w:val="both"/>
              <w:rPr/>
            </w:pPr>
            <w:r>
              <w:rPr/>
              <w:t>Public Financial Management</w:t>
            </w:r>
          </w:p>
        </w:tc>
        <w:tc>
          <w:tcPr>
            <w:tcW w:w="3331" w:type="dxa"/>
            <w:tcBorders/>
          </w:tcPr>
          <w:p>
            <w:pPr>
              <w:pStyle w:val="Normal"/>
              <w:bidi w:val="0"/>
              <w:jc w:val="both"/>
              <w:rPr/>
            </w:pPr>
            <w:r>
              <w:rPr/>
              <w:t>Guest</w:t>
            </w:r>
          </w:p>
        </w:tc>
      </w:tr>
      <w:tr>
        <w:trPr/>
        <w:tc>
          <w:tcPr>
            <w:tcW w:w="1907" w:type="dxa"/>
            <w:tcBorders/>
          </w:tcPr>
          <w:p>
            <w:pPr>
              <w:pStyle w:val="Normal"/>
              <w:bidi w:val="0"/>
              <w:jc w:val="both"/>
              <w:rPr/>
            </w:pPr>
            <w:r>
              <w:rPr/>
              <w:t>Pat Wood</w:t>
            </w:r>
          </w:p>
        </w:tc>
        <w:tc>
          <w:tcPr>
            <w:tcW w:w="3510" w:type="dxa"/>
            <w:tcBorders/>
          </w:tcPr>
          <w:p>
            <w:pPr>
              <w:pStyle w:val="Normal"/>
              <w:bidi w:val="0"/>
              <w:jc w:val="both"/>
              <w:rPr/>
            </w:pPr>
            <w:r>
              <w:rPr/>
              <w:t>Public Utility Commission of Texas</w:t>
            </w:r>
          </w:p>
        </w:tc>
        <w:tc>
          <w:tcPr>
            <w:tcW w:w="3331" w:type="dxa"/>
            <w:tcBorders/>
          </w:tcPr>
          <w:p>
            <w:pPr>
              <w:pStyle w:val="Normal"/>
              <w:bidi w:val="0"/>
              <w:jc w:val="both"/>
              <w:rPr/>
            </w:pPr>
            <w:r>
              <w:rPr/>
              <w:t>Ex Officio Rep.</w:t>
            </w:r>
          </w:p>
        </w:tc>
      </w:tr>
      <w:tr>
        <w:trPr/>
        <w:tc>
          <w:tcPr>
            <w:tcW w:w="1907" w:type="dxa"/>
            <w:tcBorders/>
          </w:tcPr>
          <w:p>
            <w:pPr>
              <w:pStyle w:val="Normal"/>
              <w:bidi w:val="0"/>
              <w:jc w:val="both"/>
              <w:rPr/>
            </w:pPr>
            <w:r>
              <w:rPr/>
              <w:t>Parviz Adib</w:t>
            </w:r>
          </w:p>
        </w:tc>
        <w:tc>
          <w:tcPr>
            <w:tcW w:w="3510" w:type="dxa"/>
            <w:tcBorders/>
          </w:tcPr>
          <w:p>
            <w:pPr>
              <w:pStyle w:val="Normal"/>
              <w:bidi w:val="0"/>
              <w:jc w:val="both"/>
              <w:rPr/>
            </w:pPr>
            <w:r>
              <w:rPr/>
              <w:t>Public Utility Commission of Texas</w:t>
            </w:r>
          </w:p>
        </w:tc>
        <w:tc>
          <w:tcPr>
            <w:tcW w:w="3331" w:type="dxa"/>
            <w:tcBorders/>
          </w:tcPr>
          <w:p>
            <w:pPr>
              <w:pStyle w:val="Normal"/>
              <w:bidi w:val="0"/>
              <w:jc w:val="both"/>
              <w:rPr/>
            </w:pPr>
            <w:r>
              <w:rPr/>
              <w:t>Guest</w:t>
            </w:r>
          </w:p>
        </w:tc>
      </w:tr>
      <w:tr>
        <w:trPr>
          <w:trHeight w:val="207" w:hRule="atLeast"/>
        </w:trPr>
        <w:tc>
          <w:tcPr>
            <w:tcW w:w="1907" w:type="dxa"/>
            <w:tcBorders/>
          </w:tcPr>
          <w:p>
            <w:pPr>
              <w:pStyle w:val="Normal"/>
              <w:tabs>
                <w:tab w:val="clear" w:pos="720"/>
              </w:tabs>
              <w:bidi w:val="0"/>
              <w:jc w:val="both"/>
              <w:rPr/>
            </w:pPr>
            <w:r>
              <w:rPr/>
              <w:t>David McClanahan</w:t>
            </w:r>
          </w:p>
        </w:tc>
        <w:tc>
          <w:tcPr>
            <w:tcW w:w="3510" w:type="dxa"/>
            <w:tcBorders/>
          </w:tcPr>
          <w:p>
            <w:pPr>
              <w:pStyle w:val="Normal"/>
              <w:tabs>
                <w:tab w:val="clear" w:pos="720"/>
              </w:tabs>
              <w:bidi w:val="0"/>
              <w:jc w:val="both"/>
              <w:rPr/>
            </w:pPr>
            <w:r>
              <w:rPr/>
              <w:t>Reliant Energy</w:t>
            </w:r>
          </w:p>
        </w:tc>
        <w:tc>
          <w:tcPr>
            <w:tcW w:w="3331" w:type="dxa"/>
            <w:tcBorders/>
          </w:tcPr>
          <w:p>
            <w:pPr>
              <w:pStyle w:val="Normal"/>
              <w:tabs>
                <w:tab w:val="clear" w:pos="720"/>
              </w:tabs>
              <w:bidi w:val="0"/>
              <w:jc w:val="both"/>
              <w:rPr/>
            </w:pPr>
            <w:r>
              <w:rPr/>
              <w:t>Member/Chair</w:t>
            </w:r>
          </w:p>
        </w:tc>
      </w:tr>
      <w:tr>
        <w:trPr/>
        <w:tc>
          <w:tcPr>
            <w:tcW w:w="1907" w:type="dxa"/>
            <w:tcBorders/>
          </w:tcPr>
          <w:p>
            <w:pPr>
              <w:pStyle w:val="Normal"/>
              <w:tabs>
                <w:tab w:val="clear" w:pos="720"/>
              </w:tabs>
              <w:bidi w:val="0"/>
              <w:jc w:val="both"/>
              <w:rPr/>
            </w:pPr>
            <w:r>
              <w:rPr/>
              <w:t>John Meyer</w:t>
            </w:r>
          </w:p>
        </w:tc>
        <w:tc>
          <w:tcPr>
            <w:tcW w:w="3510" w:type="dxa"/>
            <w:tcBorders/>
          </w:tcPr>
          <w:p>
            <w:pPr>
              <w:pStyle w:val="Normal"/>
              <w:tabs>
                <w:tab w:val="clear" w:pos="720"/>
              </w:tabs>
              <w:bidi w:val="0"/>
              <w:jc w:val="both"/>
              <w:rPr/>
            </w:pPr>
            <w:r>
              <w:rPr/>
              <w:t xml:space="preserve">Reliant Energy </w:t>
            </w:r>
          </w:p>
        </w:tc>
        <w:tc>
          <w:tcPr>
            <w:tcW w:w="3331" w:type="dxa"/>
            <w:tcBorders/>
          </w:tcPr>
          <w:p>
            <w:pPr>
              <w:pStyle w:val="Normal"/>
              <w:tabs>
                <w:tab w:val="clear" w:pos="720"/>
              </w:tabs>
              <w:bidi w:val="0"/>
              <w:jc w:val="both"/>
              <w:rPr/>
            </w:pPr>
            <w:r>
              <w:rPr/>
              <w:t>Guest</w:t>
            </w:r>
          </w:p>
        </w:tc>
      </w:tr>
      <w:tr>
        <w:trPr/>
        <w:tc>
          <w:tcPr>
            <w:tcW w:w="1907" w:type="dxa"/>
            <w:tcBorders/>
          </w:tcPr>
          <w:p>
            <w:pPr>
              <w:pStyle w:val="Normal"/>
              <w:bidi w:val="0"/>
              <w:jc w:val="both"/>
              <w:rPr/>
            </w:pPr>
            <w:r>
              <w:rPr/>
              <w:t>David Grubbs</w:t>
            </w:r>
          </w:p>
        </w:tc>
        <w:tc>
          <w:tcPr>
            <w:tcW w:w="3510" w:type="dxa"/>
            <w:tcBorders/>
          </w:tcPr>
          <w:p>
            <w:pPr>
              <w:pStyle w:val="Normal"/>
              <w:bidi w:val="0"/>
              <w:jc w:val="both"/>
              <w:rPr/>
            </w:pPr>
            <w:r>
              <w:rPr/>
              <w:t>South Texas Electric Cooperative</w:t>
            </w:r>
          </w:p>
        </w:tc>
        <w:tc>
          <w:tcPr>
            <w:tcW w:w="3331" w:type="dxa"/>
            <w:tcBorders/>
          </w:tcPr>
          <w:p>
            <w:pPr>
              <w:pStyle w:val="Normal"/>
              <w:bidi w:val="0"/>
              <w:jc w:val="both"/>
              <w:rPr/>
            </w:pPr>
            <w:r>
              <w:rPr/>
              <w:t>Member</w:t>
            </w:r>
          </w:p>
        </w:tc>
      </w:tr>
      <w:tr>
        <w:trPr/>
        <w:tc>
          <w:tcPr>
            <w:tcW w:w="1907" w:type="dxa"/>
            <w:tcBorders/>
          </w:tcPr>
          <w:p>
            <w:pPr>
              <w:pStyle w:val="Normal"/>
              <w:bidi w:val="0"/>
              <w:jc w:val="both"/>
              <w:rPr/>
            </w:pPr>
            <w:r>
              <w:rPr/>
              <w:t>Ron Erd</w:t>
            </w:r>
          </w:p>
        </w:tc>
        <w:tc>
          <w:tcPr>
            <w:tcW w:w="3510" w:type="dxa"/>
            <w:tcBorders/>
          </w:tcPr>
          <w:p>
            <w:pPr>
              <w:pStyle w:val="Normal"/>
              <w:bidi w:val="0"/>
              <w:jc w:val="both"/>
              <w:rPr/>
            </w:pPr>
            <w:r>
              <w:rPr/>
              <w:t>Southern Company Energy Marketing</w:t>
            </w:r>
          </w:p>
        </w:tc>
        <w:tc>
          <w:tcPr>
            <w:tcW w:w="3331" w:type="dxa"/>
            <w:tcBorders/>
          </w:tcPr>
          <w:p>
            <w:pPr>
              <w:pStyle w:val="Normal"/>
              <w:bidi w:val="0"/>
              <w:jc w:val="both"/>
              <w:rPr/>
            </w:pPr>
            <w:r>
              <w:rPr/>
              <w:t xml:space="preserve">Member </w:t>
            </w:r>
          </w:p>
        </w:tc>
      </w:tr>
      <w:tr>
        <w:trPr/>
        <w:tc>
          <w:tcPr>
            <w:tcW w:w="1907" w:type="dxa"/>
            <w:tcBorders/>
          </w:tcPr>
          <w:p>
            <w:pPr>
              <w:pStyle w:val="Normal"/>
              <w:bidi w:val="0"/>
              <w:jc w:val="both"/>
              <w:rPr/>
            </w:pPr>
            <w:r>
              <w:rPr/>
              <w:t>Trudy Harper</w:t>
            </w:r>
          </w:p>
        </w:tc>
        <w:tc>
          <w:tcPr>
            <w:tcW w:w="3510" w:type="dxa"/>
            <w:tcBorders/>
          </w:tcPr>
          <w:p>
            <w:pPr>
              <w:pStyle w:val="Normal"/>
              <w:bidi w:val="0"/>
              <w:jc w:val="both"/>
              <w:rPr/>
            </w:pPr>
            <w:r>
              <w:rPr/>
              <w:t>Tenaska</w:t>
            </w:r>
          </w:p>
        </w:tc>
        <w:tc>
          <w:tcPr>
            <w:tcW w:w="3331" w:type="dxa"/>
            <w:tcBorders/>
          </w:tcPr>
          <w:p>
            <w:pPr>
              <w:pStyle w:val="Normal"/>
              <w:bidi w:val="0"/>
              <w:jc w:val="both"/>
              <w:rPr/>
            </w:pPr>
            <w:r>
              <w:rPr/>
              <w:t>TAC Chair</w:t>
            </w:r>
          </w:p>
        </w:tc>
      </w:tr>
      <w:tr>
        <w:trPr/>
        <w:tc>
          <w:tcPr>
            <w:tcW w:w="1907" w:type="dxa"/>
            <w:tcBorders/>
          </w:tcPr>
          <w:p>
            <w:pPr>
              <w:pStyle w:val="Normal"/>
              <w:bidi w:val="0"/>
              <w:jc w:val="both"/>
              <w:rPr/>
            </w:pPr>
            <w:r>
              <w:rPr/>
              <w:t>Larry Dillon</w:t>
            </w:r>
          </w:p>
        </w:tc>
        <w:tc>
          <w:tcPr>
            <w:tcW w:w="3510" w:type="dxa"/>
            <w:tcBorders/>
          </w:tcPr>
          <w:p>
            <w:pPr>
              <w:pStyle w:val="Normal"/>
              <w:bidi w:val="0"/>
              <w:jc w:val="both"/>
              <w:rPr/>
            </w:pPr>
            <w:r>
              <w:rPr/>
              <w:t>Texas-New Mexico Power</w:t>
            </w:r>
          </w:p>
        </w:tc>
        <w:tc>
          <w:tcPr>
            <w:tcW w:w="3331" w:type="dxa"/>
            <w:tcBorders/>
          </w:tcPr>
          <w:p>
            <w:pPr>
              <w:pStyle w:val="Normal"/>
              <w:bidi w:val="0"/>
              <w:jc w:val="both"/>
              <w:rPr/>
            </w:pPr>
            <w:r>
              <w:rPr/>
              <w:t>Member (Representing Joyce)</w:t>
            </w:r>
          </w:p>
        </w:tc>
      </w:tr>
      <w:tr>
        <w:trPr/>
        <w:tc>
          <w:tcPr>
            <w:tcW w:w="1907" w:type="dxa"/>
            <w:tcBorders/>
          </w:tcPr>
          <w:p>
            <w:pPr>
              <w:pStyle w:val="Normal"/>
              <w:tabs>
                <w:tab w:val="clear" w:pos="720"/>
              </w:tabs>
              <w:bidi w:val="0"/>
              <w:jc w:val="both"/>
              <w:rPr/>
            </w:pPr>
            <w:r>
              <w:rPr/>
              <w:t>Mike Greene</w:t>
            </w:r>
          </w:p>
        </w:tc>
        <w:tc>
          <w:tcPr>
            <w:tcW w:w="3510" w:type="dxa"/>
            <w:tcBorders/>
          </w:tcPr>
          <w:p>
            <w:pPr>
              <w:pStyle w:val="Normal"/>
              <w:tabs>
                <w:tab w:val="clear" w:pos="720"/>
              </w:tabs>
              <w:bidi w:val="0"/>
              <w:jc w:val="both"/>
              <w:rPr/>
            </w:pPr>
            <w:r>
              <w:rPr/>
              <w:t>TXU</w:t>
            </w:r>
          </w:p>
        </w:tc>
        <w:tc>
          <w:tcPr>
            <w:tcW w:w="3331" w:type="dxa"/>
            <w:tcBorders/>
          </w:tcPr>
          <w:p>
            <w:pPr>
              <w:pStyle w:val="Normal"/>
              <w:tabs>
                <w:tab w:val="clear" w:pos="720"/>
              </w:tabs>
              <w:bidi w:val="0"/>
              <w:jc w:val="both"/>
              <w:rPr/>
            </w:pPr>
            <w:r>
              <w:rPr/>
              <w:t>Member</w:t>
            </w:r>
          </w:p>
        </w:tc>
      </w:tr>
    </w:tbl>
    <w:p>
      <w:pPr>
        <w:pStyle w:val="Normal"/>
        <w:bidi w:val="0"/>
        <w:jc w:val="both"/>
        <w:rPr>
          <w:sz w:val="22"/>
        </w:rPr>
      </w:pPr>
      <w:r>
        <w:rPr>
          <w:sz w:val="22"/>
        </w:rPr>
      </w:r>
    </w:p>
    <w:p>
      <w:pPr>
        <w:pStyle w:val="Normal"/>
        <w:bidi w:val="0"/>
        <w:jc w:val="both"/>
        <w:rPr>
          <w:sz w:val="22"/>
        </w:rPr>
      </w:pPr>
      <w:r>
        <w:rPr>
          <w:sz w:val="22"/>
        </w:rPr>
      </w:r>
    </w:p>
    <w:p>
      <w:pPr>
        <w:pStyle w:val="BodyText"/>
        <w:bidi w:val="0"/>
        <w:rPr>
          <w:rFonts w:ascii="Times New Roman" w:hAnsi="Times New Roman"/>
        </w:rPr>
      </w:pPr>
      <w:r>
        <w:rPr/>
        <w:t xml:space="preserve">Mr. McClanahan asked if there were any changes to the minutes of the October 25, 2000 Board Meeting.  Ron Lanclos stated that the minutes inaccurately listed him as the author of a motion suggesting an amendment to the motion relating to whether loads acting as a resource should have EPS meters as an option to that load.  The minutes were amended to remove Mr. Lanclos' name with respect to that motion.  A motion was made by Larry Dillon and seconded by Tom Darte to approve the minutes as amended.  The motion was approved by a unanimous voice vote. </w:t>
      </w:r>
    </w:p>
    <w:p>
      <w:pPr>
        <w:pStyle w:val="BodyText"/>
        <w:bidi w:val="0"/>
        <w:rPr>
          <w:rFonts w:ascii="Times New Roman" w:hAnsi="Times New Roman"/>
        </w:rPr>
      </w:pPr>
      <w:r>
        <w:rPr/>
      </w:r>
    </w:p>
    <w:p>
      <w:pPr>
        <w:pStyle w:val="BodyText"/>
        <w:bidi w:val="0"/>
        <w:rPr>
          <w:rFonts w:ascii="Times New Roman" w:hAnsi="Times New Roman"/>
        </w:rPr>
      </w:pPr>
      <w:r>
        <w:rPr/>
        <w:t>Tom Noel discussed the proposed Fiscal 2001 ERCOT Budget.  The proposed budget has gone through several review cycles internally and is believed to accurately reflect actual needs.  Mr. Noel provided a background for the budget preparation and approval process and discussed key issues relating to the proposed budget; an ERCOT Fund Summary showing anticipated revenues, capital requirements, operating costs and debt service requirements; and a breakdown of the O&amp;M costs and staffing requirements by work group.  A transaction fee increase will be needed to support the proposed 2001 ERCOT budget and is needed for the January 2001 billing cycle in order to meet cash flow requirements.  Mr. Noel noted that this budget will require that an average fee of $0.20 per MWH be collected and provided a transaction fee comparison between ERCOT and other ISOs.  ERCOT is now hiring as fast as possible in order to meet the growing and estimated workload.  Mr. Noel discussed the need for a supplemental budget in April 2001 to account for additional design work (Phase 2) as a result of the January 2001 supplemental Protocol Filing and noted that new financing was not an option during 2001.  The Board and ERCOT Staff discussed the uncertainty of how much the transaction fee may need to be increased to fund the supplemental budget, and for future years.  Bill Newman of Public Financial Management and David Kasper further discussed and responded to questions.  Mr. Newman confirmed that ERCOT's lenders told him that they doubted that additional financing would be a possibility for 2001.  Resources needed, therefore, need to come from a fee adjustment.  Mr. Noel recommended that the Board Of Directors adopt the proposed 2001 budget.  A motion was made by Ron Lanclos and seconded by Bob Wittmeyer to approve the proposed Fiscal 2001 ERCOT Capital and Operating Budgets as presented with the note that it be reviewed again in April because of Phase 2 costs and possible additional capital requirements.  The motion was approved by a unanimous voice vote.</w:t>
      </w:r>
    </w:p>
    <w:p>
      <w:pPr>
        <w:pStyle w:val="Normal"/>
        <w:bidi w:val="0"/>
        <w:jc w:val="both"/>
        <w:rPr>
          <w:sz w:val="22"/>
        </w:rPr>
      </w:pPr>
      <w:r>
        <w:rPr>
          <w:sz w:val="22"/>
        </w:rPr>
      </w:r>
    </w:p>
    <w:p>
      <w:pPr>
        <w:pStyle w:val="BodyText"/>
        <w:bidi w:val="0"/>
        <w:rPr>
          <w:rFonts w:ascii="Times New Roman" w:hAnsi="Times New Roman"/>
        </w:rPr>
      </w:pPr>
      <w:r>
        <w:rPr/>
        <w:t xml:space="preserve">The Board further discussed the ERCOT Fee Structure.  A motion was made by Ron Lanclos and seconded by Laurie Pappas to approve a transaction fee of $0.20 per MWH with the note that it be reviewed again in April because of additional funding requirements.  The Board discussed the need to increase the transaction fee and the possible merits of a higher fee.  The motion failed (show of hands).  A motion was then made by Ron Erd and seconded by Joe Beal that the Board  approve a transaction fee of $0.22 per MWH effective January 1, 2001, that the transaction fee increase be filed for approval with the PUCT, and that debt service not be drawn down.  The Board agreed that the fee would be reviewed after one year (end of 2001), or sooner if needed.  The motion was passed to approve a transaction fee of $0.22 per MWH.  </w:t>
      </w:r>
    </w:p>
    <w:p>
      <w:pPr>
        <w:pStyle w:val="BodyText"/>
        <w:bidi w:val="0"/>
        <w:rPr>
          <w:rFonts w:ascii="Times New Roman" w:hAnsi="Times New Roman"/>
        </w:rPr>
      </w:pPr>
      <w:r>
        <w:rPr/>
      </w:r>
    </w:p>
    <w:p>
      <w:pPr>
        <w:pStyle w:val="BodyText"/>
        <w:bidi w:val="0"/>
        <w:rPr>
          <w:rFonts w:ascii="Times New Roman" w:hAnsi="Times New Roman"/>
        </w:rPr>
      </w:pPr>
      <w:r>
        <w:rPr/>
        <w:t xml:space="preserve">The Board discussed an analysis of unbundling the O&amp;M portion of the fee for the two different types of retailers.  Mr. Noel discussed some of the issues involved in and the complexity of the analysis.  The Board discussed whether to adopt a transaction fee of either $0.22 per MWH bundled or $0.20 per MWH for non-competitive retailers and $0.23 per MWH for competitive retailers unbundled, effective January 1, 2001.  A motion was made by Chuck Manning and seconded by Milton Lee to adopt a fee structure of $0.20 per MWH for non-competitive retailers (non-opt-in) and $0.23 per MWH for competitive retailers (opt-in) for 2001.  Concern was expressed regarding fee structure differences to accommodate certain groups of customers.  The motion failed (show of hands). </w:t>
      </w:r>
    </w:p>
    <w:p>
      <w:pPr>
        <w:pStyle w:val="BodyText"/>
        <w:bidi w:val="0"/>
        <w:rPr>
          <w:rFonts w:ascii="Times New Roman" w:hAnsi="Times New Roman"/>
        </w:rPr>
      </w:pPr>
      <w:r>
        <w:rPr/>
      </w:r>
    </w:p>
    <w:p>
      <w:pPr>
        <w:pStyle w:val="BodyText"/>
        <w:bidi w:val="0"/>
        <w:rPr>
          <w:rFonts w:ascii="Times New Roman" w:hAnsi="Times New Roman"/>
        </w:rPr>
      </w:pPr>
      <w:r>
        <w:rPr/>
        <w:t>Margaret Pemberton discussed the status of ERCOT’s risk analysis to determine if it should increase and broaden its insurance coverage to cover the types of operations for which ERCOT will be responsible under restructuring.  Ms. Pemberton briefly discussed the costs associated with various levels of insurance coverage.  ERCOT has had in place for the last two years various insurance policies to cover ERCOT as an organization.  Under restructuring, ERCOT’s operational responsibility will increase.  There currently exist only a few insurers who write policies tailored to the electric industry’s independent system operator segment.  Ms. Pemberton noted that she and Sam Jones had visited with some of these insurers to explain to those insurers ERCOT’s responsibilities and the type of coverage it would need.  No payments have yet been made by an insurer for a claim against an ISO, although one claim was recently made.   Ms. Pemberton will provide insurance costs once the insurers finalize their quotes.</w:t>
      </w:r>
    </w:p>
    <w:p>
      <w:pPr>
        <w:pStyle w:val="Normal"/>
        <w:bidi w:val="0"/>
        <w:jc w:val="both"/>
        <w:rPr>
          <w:sz w:val="22"/>
        </w:rPr>
      </w:pPr>
      <w:r>
        <w:rPr>
          <w:sz w:val="22"/>
        </w:rPr>
      </w:r>
    </w:p>
    <w:p>
      <w:pPr>
        <w:pStyle w:val="Normal"/>
        <w:tabs>
          <w:tab w:val="clear" w:pos="720"/>
          <w:tab w:val="left" w:pos="0" w:leader="none"/>
          <w:tab w:val="left" w:pos="1440" w:leader="none"/>
        </w:tabs>
        <w:bidi w:val="0"/>
        <w:jc w:val="both"/>
        <w:rPr>
          <w:sz w:val="22"/>
        </w:rPr>
      </w:pPr>
      <w:r>
        <w:rPr>
          <w:sz w:val="22"/>
        </w:rPr>
        <w:t>Margaret Pemberton provided an ERCOT Membership update.  The Segments/Sectors are currently electing their ERCOT Board Directors and TAC Representatives.  These elections will be complete by no later than December 13</w:t>
      </w:r>
      <w:r>
        <w:rPr>
          <w:sz w:val="22"/>
          <w:vertAlign w:val="superscript"/>
        </w:rPr>
        <w:t>th</w:t>
      </w:r>
      <w:r>
        <w:rPr>
          <w:sz w:val="22"/>
        </w:rPr>
        <w:t xml:space="preserve"> and the new Board and TAC will be confirmed at the Annual Meeting of Corporate Members on December 19</w:t>
      </w:r>
      <w:r>
        <w:rPr>
          <w:sz w:val="22"/>
          <w:vertAlign w:val="superscript"/>
        </w:rPr>
        <w:t>th</w:t>
      </w:r>
      <w:r>
        <w:rPr>
          <w:sz w:val="22"/>
        </w:rPr>
        <w:t>.  Ms. Pemberton discussed the issue that there are currently no Corporate Members in the Independent Retail Electric Provider (REP) Segment and proposed procedures to help resolve the issue.  A motion was made by Jack Hawks and seconded by Bob Wittmeyer to allow the two current Associate Members in the Independent REP Segment to change their Associate Membership to Corporate Membership in the REP Segment as long as the change is made by no later than December 1</w:t>
      </w:r>
      <w:r>
        <w:rPr>
          <w:sz w:val="22"/>
          <w:vertAlign w:val="superscript"/>
        </w:rPr>
        <w:t>st</w:t>
      </w:r>
      <w:r>
        <w:rPr>
          <w:sz w:val="22"/>
        </w:rPr>
        <w:t>.  New Independent REPs can assume TAC seats if they are available at the time of membership.  The motion was approved by a show of hands.  The Independent Generator Segment will discuss the issue and determine whether this change will invalidate the Independent Generator votes taken on November 20</w:t>
      </w:r>
      <w:r>
        <w:rPr>
          <w:sz w:val="22"/>
          <w:vertAlign w:val="superscript"/>
        </w:rPr>
        <w:t>th</w:t>
      </w:r>
      <w:r>
        <w:rPr>
          <w:sz w:val="22"/>
        </w:rPr>
        <w:t xml:space="preserve"> for Board Members and TAC Representatives.    </w:t>
      </w:r>
    </w:p>
    <w:p>
      <w:pPr>
        <w:pStyle w:val="Normal"/>
        <w:tabs>
          <w:tab w:val="clear" w:pos="720"/>
          <w:tab w:val="left" w:pos="1440" w:leader="none"/>
          <w:tab w:val="left" w:pos="2700" w:leader="none"/>
        </w:tabs>
        <w:bidi w:val="0"/>
        <w:jc w:val="both"/>
        <w:rPr>
          <w:sz w:val="22"/>
        </w:rPr>
      </w:pPr>
      <w:r>
        <w:rPr>
          <w:sz w:val="22"/>
        </w:rPr>
      </w:r>
    </w:p>
    <w:p>
      <w:pPr>
        <w:pStyle w:val="BodyText"/>
        <w:bidi w:val="0"/>
        <w:rPr>
          <w:rFonts w:ascii="Times New Roman" w:hAnsi="Times New Roman"/>
        </w:rPr>
      </w:pPr>
      <w:r>
        <w:rPr/>
        <w:t>Tom Darte noted that the Installed Generation Reserve Committee was in agreement that there is a need to provide a minimum installed generation reserve for at least a period of time until the new market can be established.  Such a reserve requirement should be applied in a fair and equitable manner that protects reliability while at the same time encourages competition.  Mr. Darte asked that the Board recognize the need to provide adequate generation and transmission capacity to protect reliability and competition.  Trudy Harper discussed the status of the TAC’s work related the issue.  A motion was made by Tom Darte and seconded by Jim Harder that the Board is committed to establishing an installed generation reserve policy and will adopt procedures to be incorporated into the ERCOT Protocols.  The motion was approved by a 20 to 1 voice vote.</w:t>
      </w:r>
    </w:p>
    <w:p>
      <w:pPr>
        <w:pStyle w:val="Normal"/>
        <w:tabs>
          <w:tab w:val="clear" w:pos="720"/>
          <w:tab w:val="left" w:pos="1440" w:leader="none"/>
          <w:tab w:val="left" w:pos="2700" w:leader="none"/>
        </w:tabs>
        <w:bidi w:val="0"/>
        <w:jc w:val="both"/>
        <w:rPr>
          <w:sz w:val="22"/>
        </w:rPr>
      </w:pPr>
      <w:r>
        <w:rPr>
          <w:sz w:val="22"/>
        </w:rPr>
      </w:r>
    </w:p>
    <w:p>
      <w:pPr>
        <w:pStyle w:val="BodyText2"/>
        <w:tabs>
          <w:tab w:val="left" w:pos="-720" w:leader="none"/>
          <w:tab w:val="left" w:pos="1080" w:leader="none"/>
        </w:tabs>
        <w:suppressAutoHyphens w:val="true"/>
        <w:bidi w:val="0"/>
        <w:spacing w:lineRule="atLeast" w:line="240"/>
        <w:ind w:hanging="0" w:start="0"/>
        <w:rPr>
          <w:rFonts w:ascii="Times New Roman" w:hAnsi="Times New Roman"/>
        </w:rPr>
      </w:pPr>
      <w:r>
        <w:rPr/>
        <w:t xml:space="preserve">Trudy Harper reported on the activities of the TAC.  </w:t>
      </w:r>
      <w:r>
        <w:rPr>
          <w:color w:val="000000"/>
        </w:rPr>
        <w:t xml:space="preserve">The TAC is continuing to address the Resource Adequacy issue.  Ms. Harper also reported on the work of the Joint Operating Guides Task Force.  </w:t>
      </w:r>
      <w:r>
        <w:rPr/>
        <w:t>The TAC</w:t>
      </w:r>
      <w:r>
        <w:rPr>
          <w:color w:val="000000"/>
          <w:spacing w:val="-3"/>
        </w:rPr>
        <w:t xml:space="preserve"> discussed how to restructure the TAC subcommittees, as well as functions to be performed and governance.  Ms. Harper reviewed two proposals for a future TAC subcommittee structure (four subcommittees vs. three subcommittees). </w:t>
      </w:r>
      <w:r>
        <w:rPr/>
        <w:t xml:space="preserve"> The TAC agreed to take action on a new TAC governance structure recommendation from the TAC Subcommittee Structure Working Group at its December 14</w:t>
      </w:r>
      <w:r>
        <w:rPr>
          <w:vertAlign w:val="superscript"/>
        </w:rPr>
        <w:t>th</w:t>
      </w:r>
      <w:r>
        <w:rPr/>
        <w:t xml:space="preserve"> meeting and that the incoming (new) TAC will make a decision at its December 19</w:t>
      </w:r>
      <w:r>
        <w:rPr>
          <w:vertAlign w:val="superscript"/>
        </w:rPr>
        <w:t>th</w:t>
      </w:r>
      <w:r>
        <w:rPr/>
        <w:t xml:space="preserve"> meeting on the future subcommittee structure for the TAC and recommend that such subcommittees be staffed no later than February 2001 to ensure they are operational prior to the opening of the ERCOT Mock Market in April 2001.  For additional details, the November 9</w:t>
      </w:r>
      <w:r>
        <w:rPr>
          <w:vertAlign w:val="superscript"/>
        </w:rPr>
        <w:t>th</w:t>
      </w:r>
      <w:r>
        <w:rPr/>
        <w:t xml:space="preserve"> TAC Meeting Minutes are posted on the ERCOT Web Site.    </w:t>
      </w:r>
      <w:r>
        <w:rPr>
          <w:b/>
        </w:rPr>
        <w:t xml:space="preserve">  </w:t>
      </w:r>
    </w:p>
    <w:p>
      <w:pPr>
        <w:pStyle w:val="BodyText"/>
        <w:bidi w:val="0"/>
        <w:rPr>
          <w:rFonts w:ascii="Times New Roman" w:hAnsi="Times New Roman"/>
        </w:rPr>
      </w:pPr>
      <w:r>
        <w:rPr/>
      </w:r>
    </w:p>
    <w:p>
      <w:pPr>
        <w:pStyle w:val="BodyText"/>
        <w:bidi w:val="0"/>
        <w:rPr>
          <w:rFonts w:ascii="Times New Roman" w:hAnsi="Times New Roman"/>
        </w:rPr>
      </w:pPr>
      <w:r>
        <w:rPr/>
        <w:t>John Meyer reported on the activities of the RUG.  Mr. Meyer reviewed supplemental filing issues, both those that have been agreed to and those that are pending.  Mr. Meyer discussed a timeline leading up to the Supplemental Filing in January.  The RUG will meet next on December 6</w:t>
      </w:r>
      <w:r>
        <w:rPr>
          <w:vertAlign w:val="superscript"/>
        </w:rPr>
        <w:t>th</w:t>
      </w:r>
      <w:r>
        <w:rPr/>
        <w:t xml:space="preserve"> to vote on pending issues and the Protocol Implementation Plan.  It is anticipated that the Supplemental Filing will be made the first week of January 2001.          </w:t>
      </w:r>
    </w:p>
    <w:p>
      <w:pPr>
        <w:pStyle w:val="BodyText"/>
        <w:bidi w:val="0"/>
        <w:rPr>
          <w:rFonts w:ascii="Times New Roman" w:hAnsi="Times New Roman"/>
        </w:rPr>
      </w:pPr>
      <w:r>
        <w:rPr/>
        <w:t xml:space="preserve">      </w:t>
      </w:r>
    </w:p>
    <w:p>
      <w:pPr>
        <w:pStyle w:val="BodyText"/>
        <w:bidi w:val="0"/>
        <w:rPr>
          <w:rFonts w:ascii="Times New Roman" w:hAnsi="Times New Roman"/>
        </w:rPr>
      </w:pPr>
      <w:r>
        <w:rPr/>
        <w:t>Bill Bojorquez reported that the ERCOT Protocols include a number of responsibilities of the Board of Directors.  Mr. Bojorquez presented and discussed those responsibilities.  A copy of Mr. Bojorquez's presentation detailing the Board's responsibilities is attached to these minutes.  Mr. Bojorquez indicated that because at least some of the items reflected in the tables require Board action, he wanted to bring these responsibilities to the attention of the Board.  It was noted that some of these responsibilities could be delegated to the CEO.</w:t>
      </w:r>
    </w:p>
    <w:p>
      <w:pPr>
        <w:pStyle w:val="BodyText"/>
        <w:bidi w:val="0"/>
        <w:rPr>
          <w:rFonts w:ascii="Times New Roman" w:hAnsi="Times New Roman"/>
        </w:rPr>
      </w:pPr>
      <w:r>
        <w:rPr/>
      </w:r>
    </w:p>
    <w:p>
      <w:pPr>
        <w:pStyle w:val="BodyText"/>
        <w:bidi w:val="0"/>
        <w:rPr>
          <w:rFonts w:ascii="Times New Roman" w:hAnsi="Times New Roman"/>
          <w:color w:val="000000"/>
        </w:rPr>
      </w:pPr>
      <w:r>
        <w:rPr/>
        <w:t>Sam Jones reported that the preliminary gap analysis relating to the Protocols was completed on November 6</w:t>
      </w:r>
      <w:r>
        <w:rPr>
          <w:vertAlign w:val="superscript"/>
        </w:rPr>
        <w:t>th</w:t>
      </w:r>
      <w:r>
        <w:rPr/>
        <w:t xml:space="preserve">.  An initial list of gaps has been developed and the gaps are being grouped and verified by ERCOT. </w:t>
      </w:r>
      <w:r>
        <w:rPr>
          <w:color w:val="000000"/>
        </w:rPr>
        <w:t xml:space="preserve"> The first 100 “real” gaps have been sent to the PIWG for review.  </w:t>
      </w:r>
      <w:r>
        <w:rPr/>
        <w:t>Items in the Protocols that are gaps are shown in boxes in the November 2</w:t>
      </w:r>
      <w:r>
        <w:rPr>
          <w:vertAlign w:val="superscript"/>
        </w:rPr>
        <w:t>nd</w:t>
      </w:r>
      <w:r>
        <w:rPr/>
        <w:t xml:space="preserve"> filed Protocols.  Mr. Jones noted that there was no estimated cost available yet for Phase 2.  </w:t>
      </w:r>
      <w:r>
        <w:rPr>
          <w:color w:val="000000"/>
        </w:rPr>
        <w:t xml:space="preserve">Mr. Jones also provided a brief update on the status of the systems being procured by ERCOT.  The project is on schedule.  </w:t>
      </w:r>
    </w:p>
    <w:p>
      <w:pPr>
        <w:pStyle w:val="BodyText"/>
        <w:bidi w:val="0"/>
        <w:rPr>
          <w:rFonts w:ascii="Times New Roman" w:hAnsi="Times New Roman"/>
        </w:rPr>
      </w:pPr>
      <w:r>
        <w:rPr/>
      </w:r>
    </w:p>
    <w:p>
      <w:pPr>
        <w:pStyle w:val="BodyText"/>
        <w:bidi w:val="0"/>
        <w:rPr>
          <w:rFonts w:ascii="Times New Roman" w:hAnsi="Times New Roman"/>
        </w:rPr>
      </w:pPr>
      <w:r>
        <w:rPr/>
        <w:t>Tom Noel briefly reported on the status of the CFO search.  It is hoped that a CFO will be in place sometime in December.  Mr. Noel also provided an update on the status of the ERCOT Austin facility.  MRS 5 will be held on December 4</w:t>
      </w:r>
      <w:r>
        <w:rPr>
          <w:vertAlign w:val="superscript"/>
        </w:rPr>
        <w:t>th</w:t>
      </w:r>
      <w:r>
        <w:rPr/>
        <w:t xml:space="preserve"> and 5</w:t>
      </w:r>
      <w:r>
        <w:rPr>
          <w:vertAlign w:val="superscript"/>
        </w:rPr>
        <w:t>th</w:t>
      </w:r>
      <w:r>
        <w:rPr/>
        <w:t xml:space="preserve"> and the response to attend has been heavy.     </w:t>
      </w:r>
    </w:p>
    <w:p>
      <w:pPr>
        <w:pStyle w:val="BodyText"/>
        <w:bidi w:val="0"/>
        <w:rPr>
          <w:rFonts w:ascii="Times New Roman" w:hAnsi="Times New Roman"/>
        </w:rPr>
      </w:pPr>
      <w:r>
        <w:rPr/>
      </w:r>
    </w:p>
    <w:p>
      <w:pPr>
        <w:pStyle w:val="BodyText"/>
        <w:bidi w:val="0"/>
        <w:rPr>
          <w:rFonts w:ascii="Times New Roman" w:hAnsi="Times New Roman"/>
        </w:rPr>
      </w:pPr>
      <w:r>
        <w:rPr/>
        <w:t xml:space="preserve">The next Board Meeting is scheduled for December 19, 2000.  </w:t>
      </w:r>
    </w:p>
    <w:p>
      <w:pPr>
        <w:pStyle w:val="BodyText"/>
        <w:bidi w:val="0"/>
        <w:rPr>
          <w:rFonts w:ascii="Times New Roman" w:hAnsi="Times New Roman"/>
        </w:rPr>
      </w:pPr>
      <w:r>
        <w:rPr/>
      </w:r>
    </w:p>
    <w:p>
      <w:pPr>
        <w:pStyle w:val="BodyText"/>
        <w:bidi w:val="0"/>
        <w:rPr>
          <w:rFonts w:ascii="Times New Roman" w:hAnsi="Times New Roman"/>
        </w:rPr>
      </w:pPr>
      <w:r>
        <w:rPr/>
        <w:tab/>
        <w:tab/>
        <w:tab/>
        <w:tab/>
        <w:tab/>
        <w:tab/>
        <w:tab/>
        <w:tab/>
        <w:tab/>
        <w:tab/>
        <w:tab/>
        <w:tab/>
        <w:tab/>
        <w:tab/>
        <w:tab/>
        <w:tab/>
        <w:tab/>
      </w:r>
    </w:p>
    <w:p>
      <w:pPr>
        <w:pStyle w:val="BodyText"/>
        <w:bidi w:val="0"/>
        <w:ind w:firstLine="720" w:start="3600"/>
        <w:rPr>
          <w:rFonts w:ascii="Times New Roman" w:hAnsi="Times New Roman"/>
        </w:rPr>
      </w:pPr>
      <w:r>
        <w:rPr/>
        <w:t>__________________________________</w:t>
      </w:r>
    </w:p>
    <w:p>
      <w:pPr>
        <w:pStyle w:val="BodyText"/>
        <w:bidi w:val="0"/>
        <w:rPr>
          <w:rFonts w:ascii="Times New Roman" w:hAnsi="Times New Roman"/>
        </w:rPr>
      </w:pPr>
      <w:r>
        <w:rPr/>
        <w:tab/>
        <w:tab/>
        <w:tab/>
        <w:tab/>
        <w:tab/>
        <w:tab/>
        <w:t>Margaret Pemberton, Corporate Secretary</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Approved:</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____________________________________</w:t>
      </w:r>
    </w:p>
    <w:p>
      <w:pPr>
        <w:pStyle w:val="BodyText"/>
        <w:bidi w:val="0"/>
        <w:rPr>
          <w:rFonts w:ascii="Times New Roman" w:hAnsi="Times New Roman"/>
        </w:rPr>
      </w:pPr>
      <w:r>
        <w:rPr/>
        <w:t xml:space="preserve">David McClanahan, Chairman               </w:t>
      </w:r>
    </w:p>
    <w:p>
      <w:pPr>
        <w:pStyle w:val="BodyText"/>
        <w:bidi w:val="0"/>
        <w:rPr>
          <w:rFonts w:ascii="Times New Roman" w:hAnsi="Times New Roman"/>
        </w:rPr>
      </w:pPr>
      <w:r>
        <w:rPr/>
      </w:r>
    </w:p>
    <w:p>
      <w:pPr>
        <w:pStyle w:val="BodyText"/>
        <w:bidi w:val="0"/>
        <w:rPr>
          <w:rFonts w:ascii="Times New Roman" w:hAnsi="Times New Roman"/>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w:t>
    </w:r>
    <w:r>
      <w:rPr>
        <w:rStyle w:val="PageNumbe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w:t>
    </w:r>
    <w:r>
      <w:rPr>
        <w:rStyle w:val="PageNumber"/>
        <w:lang w:val="en-CA"/>
      </w:rPr>
      <w:fldChar w:fldCharType="end"/>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Wingdings"/>
      <w:color w:val="auto"/>
      <w:kern w:val="2"/>
      <w:sz w:val="20"/>
      <w:szCs w:val="24"/>
      <w:lang w:val="en-CA" w:eastAsia="zh-CN" w:bidi="hi-IN"/>
    </w:rPr>
  </w:style>
  <w:style w:type="paragraph" w:styleId="Heading1">
    <w:name w:val="heading 1"/>
    <w:basedOn w:val="Normal"/>
    <w:next w:val="Normal"/>
    <w:qFormat/>
    <w:pPr>
      <w:keepNext w:val="true"/>
      <w:widowControl/>
      <w:tabs>
        <w:tab w:val="clear" w:pos="720"/>
        <w:tab w:val="left" w:pos="-720" w:leader="none"/>
      </w:tabs>
      <w:suppressAutoHyphens w:val="true"/>
      <w:jc w:val="both"/>
    </w:pPr>
    <w:rPr>
      <w:rFonts w:ascii="Courier New" w:hAnsi="Courier New"/>
      <w:spacing w:val="-3"/>
      <w:sz w:val="2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 w:type="paragraph" w:styleId="Subtitle">
    <w:name w:val="Subtitle"/>
    <w:basedOn w:val="Normal"/>
    <w:qFormat/>
    <w:pPr>
      <w:widowControl/>
      <w:jc w:val="center"/>
    </w:pPr>
    <w:rPr>
      <w:b/>
      <w:sz w:val="22"/>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TOC7">
    <w:name w:val="toc 7"/>
    <w:basedOn w:val="Normal"/>
    <w:next w:val="Normal"/>
    <w:autoRedefine/>
    <w:pPr>
      <w:widowControl/>
      <w:suppressAutoHyphens w:val="true"/>
      <w:ind w:hanging="720" w:start="720"/>
    </w:pPr>
    <w:rPr>
      <w:rFonts w:ascii="Courier New" w:hAnsi="Courier New"/>
    </w:rPr>
  </w:style>
  <w:style w:type="paragraph" w:styleId="BodyText2">
    <w:name w:val="Body Text 2"/>
    <w:basedOn w:val="Normal"/>
    <w:qFormat/>
    <w:pPr>
      <w:widowControl/>
      <w:tabs>
        <w:tab w:val="clear" w:pos="720"/>
        <w:tab w:val="left" w:pos="1080" w:leader="none"/>
      </w:tabs>
      <w:spacing w:lineRule="atLeast" w:line="240"/>
      <w:ind w:hanging="0" w:start="720"/>
      <w:jc w:val="both"/>
    </w:pPr>
    <w:rPr>
      <w:sz w:val="22"/>
    </w:rPr>
  </w:style>
  <w:style w:type="paragraph" w:styleId="BodyText3">
    <w:name w:val="Body Text 3"/>
    <w:basedOn w:val="Normal"/>
    <w:qFormat/>
    <w:pPr>
      <w:widowControl/>
      <w:spacing w:lineRule="exact" w:line="300" w:before="240" w:after="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TotalTime>
  <Application>LibreOffice/25.2.7.0.0$Linux_X86_64 LibreOffice_project/2cc84caafd2707671cae2773f8085721f003b89f</Application>
  <AppVersion>15.0000</AppVersion>
  <Pages>99</Pages>
  <Words>1318</Words>
  <Characters>0</Characters>
  <CharactersWithSpaces>7518</CharactersWithSpaces>
  <Company>Electric Reliability Council of Texas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2000-07-24T08:12:00Z</dcterms:created>
  <dc:creator>Larry Grimm</dc:creator>
  <dc:description/>
  <dc:language>en-CA</dc:language>
  <cp:lastModifiedBy/>
  <cp:lastPrinted>2000-07-28T15:42:00Z</cp:lastPrinted>
  <dcterms:modified xsi:type="dcterms:W3CDTF">2000-12-12T11:07:00Z</dcterms:modified>
  <cp:revision>1275</cp:revision>
  <dc:subject/>
  <dc:title>DRAFT MINUTES OF THE ERCOT BOARD OF DIRECTORS MEETING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 T. Sweatman</vt:lpwstr>
  </property>
</Properties>
</file>