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44"/>
        </w:rPr>
      </w:pPr>
      <w:r>
        <w:rPr>
          <w:b/>
          <w:sz w:val="44"/>
        </w:rPr>
        <w:t>Collared Swap</w:t>
      </w:r>
    </w:p>
    <w:p>
      <w:pPr>
        <w:pStyle w:val="Subtitle"/>
        <w:rPr>
          <w:b/>
        </w:rPr>
      </w:pPr>
      <w:r>
        <w:rPr/>
        <w:t>Indicative Terms</w:t>
      </w:r>
    </w:p>
    <w:p>
      <w:pPr>
        <w:pStyle w:val="Header"/>
        <w:tabs>
          <w:tab w:val="clear" w:pos="4320"/>
          <w:tab w:val="clear" w:pos="8640"/>
        </w:tabs>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Party A:</w:t>
            </w:r>
          </w:p>
          <w:p>
            <w:pPr>
              <w:pStyle w:val="Normal"/>
              <w:rPr>
                <w:b/>
              </w:rPr>
            </w:pPr>
            <w:r>
              <w:rPr>
                <w:b/>
              </w:rPr>
            </w:r>
          </w:p>
        </w:tc>
        <w:tc>
          <w:tcPr>
            <w:tcW w:w="4428" w:type="dxa"/>
            <w:tcBorders/>
          </w:tcPr>
          <w:p>
            <w:pPr>
              <w:pStyle w:val="Normal"/>
              <w:jc w:val="both"/>
              <w:rPr/>
            </w:pPr>
            <w:r>
              <w:rPr/>
              <w:t>Enron North America Corp. (ENA)</w:t>
            </w:r>
          </w:p>
          <w:p>
            <w:pPr>
              <w:pStyle w:val="Normal"/>
              <w:jc w:val="both"/>
              <w:rPr/>
            </w:pPr>
            <w:r>
              <w:rPr/>
            </w:r>
          </w:p>
        </w:tc>
      </w:tr>
      <w:tr>
        <w:trPr/>
        <w:tc>
          <w:tcPr>
            <w:tcW w:w="4428" w:type="dxa"/>
            <w:tcBorders/>
          </w:tcPr>
          <w:p>
            <w:pPr>
              <w:pStyle w:val="Normal"/>
              <w:rPr>
                <w:b/>
              </w:rPr>
            </w:pPr>
            <w:r>
              <w:rPr>
                <w:b/>
              </w:rPr>
              <w:t>Party B:</w:t>
            </w:r>
          </w:p>
        </w:tc>
        <w:tc>
          <w:tcPr>
            <w:tcW w:w="4428" w:type="dxa"/>
            <w:tcBorders/>
          </w:tcPr>
          <w:p>
            <w:pPr>
              <w:pStyle w:val="Normal"/>
              <w:jc w:val="both"/>
              <w:rPr/>
            </w:pPr>
            <w:r>
              <w:rPr/>
              <w:t>Bear, Stearns International Limited (BSIL)</w:t>
            </w:r>
          </w:p>
          <w:p>
            <w:pPr>
              <w:pStyle w:val="Normal"/>
              <w:jc w:val="both"/>
              <w:rPr/>
            </w:pPr>
            <w:r>
              <w:rPr/>
            </w:r>
          </w:p>
        </w:tc>
      </w:tr>
      <w:tr>
        <w:trPr/>
        <w:tc>
          <w:tcPr>
            <w:tcW w:w="4428" w:type="dxa"/>
            <w:tcBorders/>
          </w:tcPr>
          <w:p>
            <w:pPr>
              <w:pStyle w:val="Normal"/>
              <w:rPr>
                <w:b/>
              </w:rPr>
            </w:pPr>
            <w:r>
              <w:rPr>
                <w:b/>
              </w:rPr>
              <w:t>Trade Date:</w:t>
            </w:r>
          </w:p>
        </w:tc>
        <w:tc>
          <w:tcPr>
            <w:tcW w:w="4428" w:type="dxa"/>
            <w:tcBorders/>
          </w:tcPr>
          <w:p>
            <w:pPr>
              <w:pStyle w:val="Normal"/>
              <w:jc w:val="both"/>
              <w:rPr/>
            </w:pPr>
            <w:r>
              <w:rPr/>
              <w:t>[TBD]</w:t>
            </w:r>
          </w:p>
          <w:p>
            <w:pPr>
              <w:pStyle w:val="Normal"/>
              <w:jc w:val="both"/>
              <w:rPr/>
            </w:pPr>
            <w:r>
              <w:rPr/>
            </w:r>
          </w:p>
        </w:tc>
      </w:tr>
      <w:tr>
        <w:trPr/>
        <w:tc>
          <w:tcPr>
            <w:tcW w:w="4428" w:type="dxa"/>
            <w:tcBorders/>
          </w:tcPr>
          <w:p>
            <w:pPr>
              <w:pStyle w:val="Normal"/>
              <w:rPr>
                <w:b/>
              </w:rPr>
            </w:pPr>
            <w:r>
              <w:rPr>
                <w:b/>
              </w:rPr>
              <w:t>Trade Settlement Date:</w:t>
            </w:r>
          </w:p>
          <w:p>
            <w:pPr>
              <w:pStyle w:val="Normal"/>
              <w:rPr>
                <w:b/>
              </w:rPr>
            </w:pPr>
            <w:r>
              <w:rPr>
                <w:b/>
              </w:rPr>
            </w:r>
          </w:p>
        </w:tc>
        <w:tc>
          <w:tcPr>
            <w:tcW w:w="4428" w:type="dxa"/>
            <w:tcBorders/>
          </w:tcPr>
          <w:p>
            <w:pPr>
              <w:pStyle w:val="Normal"/>
              <w:jc w:val="both"/>
              <w:rPr/>
            </w:pPr>
            <w:r>
              <w:rPr/>
              <w:t>The third Exchange Business Day following the Trade Date</w:t>
            </w:r>
          </w:p>
          <w:p>
            <w:pPr>
              <w:pStyle w:val="Normal"/>
              <w:jc w:val="both"/>
              <w:rPr/>
            </w:pPr>
            <w:r>
              <w:rPr/>
            </w:r>
          </w:p>
        </w:tc>
      </w:tr>
      <w:tr>
        <w:trPr/>
        <w:tc>
          <w:tcPr>
            <w:tcW w:w="4428" w:type="dxa"/>
            <w:tcBorders/>
          </w:tcPr>
          <w:p>
            <w:pPr>
              <w:pStyle w:val="Normal"/>
              <w:rPr>
                <w:b/>
              </w:rPr>
            </w:pPr>
            <w:r>
              <w:rPr>
                <w:b/>
              </w:rPr>
              <w:t>Exchange Business Day:</w:t>
            </w:r>
          </w:p>
        </w:tc>
        <w:tc>
          <w:tcPr>
            <w:tcW w:w="4428" w:type="dxa"/>
            <w:tcBorders/>
          </w:tcPr>
          <w:p>
            <w:pPr>
              <w:pStyle w:val="Normal"/>
              <w:jc w:val="both"/>
              <w:rPr/>
            </w:pPr>
            <w:r>
              <w:rPr>
                <w:rStyle w:val="Choices"/>
                <w:color w:val="000000"/>
              </w:rPr>
              <w:t>A day that is a trading day on NYSE other than a day on which trading on NYSE is scheduled to close prior to its regular weekday closing time</w:t>
            </w:r>
          </w:p>
          <w:p>
            <w:pPr>
              <w:pStyle w:val="Normal"/>
              <w:jc w:val="both"/>
              <w:rPr/>
            </w:pPr>
            <w:r>
              <w:rPr/>
            </w:r>
          </w:p>
        </w:tc>
      </w:tr>
      <w:tr>
        <w:trPr/>
        <w:tc>
          <w:tcPr>
            <w:tcW w:w="4428" w:type="dxa"/>
            <w:tcBorders/>
          </w:tcPr>
          <w:p>
            <w:pPr>
              <w:pStyle w:val="Normal"/>
              <w:rPr>
                <w:b/>
              </w:rPr>
            </w:pPr>
            <w:r>
              <w:rPr>
                <w:b/>
              </w:rPr>
              <w:t>Documentation:</w:t>
            </w:r>
          </w:p>
        </w:tc>
        <w:tc>
          <w:tcPr>
            <w:tcW w:w="4428" w:type="dxa"/>
            <w:tcBorders/>
          </w:tcPr>
          <w:p>
            <w:pPr>
              <w:pStyle w:val="Normal"/>
              <w:jc w:val="both"/>
              <w:rPr/>
            </w:pPr>
            <w:r>
              <w:rPr/>
              <w:t>ISDA Confirmation</w:t>
            </w:r>
          </w:p>
          <w:p>
            <w:pPr>
              <w:pStyle w:val="Normal"/>
              <w:jc w:val="both"/>
              <w:rPr/>
            </w:pPr>
            <w:r>
              <w:rPr/>
            </w:r>
          </w:p>
        </w:tc>
      </w:tr>
    </w:tbl>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Basket Unit:</w:t>
            </w:r>
          </w:p>
          <w:p>
            <w:pPr>
              <w:pStyle w:val="Normal"/>
              <w:rPr>
                <w:b/>
              </w:rPr>
            </w:pPr>
            <w:r>
              <w:rPr>
                <w:b/>
              </w:rPr>
            </w:r>
          </w:p>
        </w:tc>
        <w:tc>
          <w:tcPr>
            <w:tcW w:w="4428" w:type="dxa"/>
            <w:tcBorders/>
          </w:tcPr>
          <w:p>
            <w:pPr>
              <w:pStyle w:val="Normal"/>
              <w:jc w:val="both"/>
              <w:rPr/>
            </w:pPr>
            <w:r>
              <w:rPr/>
              <w:t>A basket composed of a fixed number of Basket Component Shares (see table below)</w:t>
            </w:r>
          </w:p>
          <w:p>
            <w:pPr>
              <w:pStyle w:val="Normal"/>
              <w:jc w:val="both"/>
              <w:rPr/>
            </w:pPr>
            <w:r>
              <w:rPr/>
            </w:r>
          </w:p>
        </w:tc>
      </w:tr>
      <w:tr>
        <w:trPr/>
        <w:tc>
          <w:tcPr>
            <w:tcW w:w="4428" w:type="dxa"/>
            <w:tcBorders/>
          </w:tcPr>
          <w:p>
            <w:pPr>
              <w:pStyle w:val="Normal"/>
              <w:rPr/>
            </w:pPr>
            <w:r>
              <w:rPr>
                <w:b/>
              </w:rPr>
              <w:t>Basket Unit</w:t>
            </w:r>
            <w:r>
              <w:rPr>
                <w:rFonts w:cs="Times New Roman Bold;Times New Roman" w:ascii="Times New Roman Bold;Times New Roman" w:hAnsi="Times New Roman Bold;Times New Roman"/>
                <w:b/>
                <w:vertAlign w:val="subscript"/>
              </w:rPr>
              <w:t>initial</w:t>
            </w:r>
            <w:r>
              <w:rPr>
                <w:b/>
              </w:rPr>
              <w:t>:</w:t>
            </w:r>
          </w:p>
          <w:p>
            <w:pPr>
              <w:pStyle w:val="Normal"/>
              <w:rPr>
                <w:b/>
              </w:rPr>
            </w:pPr>
            <w:r>
              <w:rPr>
                <w:b/>
              </w:rPr>
            </w:r>
          </w:p>
          <w:p>
            <w:pPr>
              <w:pStyle w:val="Normal"/>
              <w:rPr>
                <w:b/>
              </w:rPr>
            </w:pPr>
            <w:r>
              <w:rPr>
                <w:b/>
              </w:rPr>
            </w:r>
          </w:p>
        </w:tc>
        <w:tc>
          <w:tcPr>
            <w:tcW w:w="4428" w:type="dxa"/>
            <w:tcBorders/>
          </w:tcPr>
          <w:p>
            <w:pPr>
              <w:pStyle w:val="BodyText"/>
              <w:rPr/>
            </w:pPr>
            <w:r>
              <w:rPr/>
              <w:t>Approximately [USD 10,000] per Basket Unit</w:t>
            </w:r>
          </w:p>
        </w:tc>
      </w:tr>
      <w:tr>
        <w:trPr/>
        <w:tc>
          <w:tcPr>
            <w:tcW w:w="4428" w:type="dxa"/>
            <w:tcBorders/>
          </w:tcPr>
          <w:p>
            <w:pPr>
              <w:pStyle w:val="Normal"/>
              <w:rPr>
                <w:b/>
              </w:rPr>
            </w:pPr>
            <w:r>
              <w:rPr>
                <w:b/>
              </w:rPr>
              <w:t>Basket Unit Component Shares:</w:t>
            </w:r>
          </w:p>
        </w:tc>
        <w:tc>
          <w:tcPr>
            <w:tcW w:w="4428" w:type="dxa"/>
            <w:tcBorders/>
          </w:tcPr>
          <w:p>
            <w:pPr>
              <w:pStyle w:val="Normal"/>
              <w:jc w:val="both"/>
              <w:rPr/>
            </w:pPr>
            <w:r>
              <w:rPr/>
              <w:t>Brazilian ADRs that comprise a Basket Unit (see table below)</w:t>
            </w:r>
          </w:p>
          <w:p>
            <w:pPr>
              <w:pStyle w:val="Normal"/>
              <w:jc w:val="both"/>
              <w:rPr/>
            </w:pPr>
            <w:r>
              <w:rPr/>
            </w:r>
          </w:p>
        </w:tc>
      </w:tr>
      <w:tr>
        <w:trPr/>
        <w:tc>
          <w:tcPr>
            <w:tcW w:w="4428" w:type="dxa"/>
            <w:tcBorders/>
          </w:tcPr>
          <w:p>
            <w:pPr>
              <w:pStyle w:val="Normal"/>
              <w:rPr>
                <w:b/>
              </w:rPr>
            </w:pPr>
            <w:r>
              <w:rPr>
                <w:b/>
              </w:rPr>
              <w:t>Number of Basket Unit Component Shares:</w:t>
            </w:r>
          </w:p>
          <w:p>
            <w:pPr>
              <w:pStyle w:val="Normal"/>
              <w:rPr>
                <w:b/>
              </w:rPr>
            </w:pPr>
            <w:r>
              <w:rPr>
                <w:b/>
              </w:rPr>
            </w:r>
          </w:p>
        </w:tc>
        <w:tc>
          <w:tcPr>
            <w:tcW w:w="4428" w:type="dxa"/>
            <w:tcBorders/>
          </w:tcPr>
          <w:p>
            <w:pPr>
              <w:pStyle w:val="Normal"/>
              <w:jc w:val="both"/>
              <w:rPr/>
            </w:pPr>
            <w:r>
              <w:rPr/>
              <w:t>The respective number of Basket Unit Component Shares for the respective Basket Unit Component Share in a Basket Unit</w:t>
            </w:r>
          </w:p>
          <w:p>
            <w:pPr>
              <w:pStyle w:val="Normal"/>
              <w:jc w:val="both"/>
              <w:rPr/>
            </w:pPr>
            <w:r>
              <w:rPr/>
            </w:r>
          </w:p>
        </w:tc>
      </w:tr>
      <w:tr>
        <w:trPr/>
        <w:tc>
          <w:tcPr>
            <w:tcW w:w="4428" w:type="dxa"/>
            <w:tcBorders/>
          </w:tcPr>
          <w:p>
            <w:pPr>
              <w:pStyle w:val="Normal"/>
              <w:rPr/>
            </w:pPr>
            <w:r>
              <w:rPr>
                <w:b/>
              </w:rPr>
              <w:t>Basket Unit Component Share Spot</w:t>
            </w:r>
            <w:r>
              <w:rPr>
                <w:rFonts w:cs="Times New Roman Bold;Times New Roman" w:ascii="Times New Roman Bold;Times New Roman" w:hAnsi="Times New Roman Bold;Times New Roman"/>
                <w:b/>
                <w:vertAlign w:val="subscript"/>
              </w:rPr>
              <w:t>initial</w:t>
            </w:r>
            <w:r>
              <w:rPr>
                <w:b/>
              </w:rPr>
              <w:t>:</w:t>
            </w:r>
          </w:p>
        </w:tc>
        <w:tc>
          <w:tcPr>
            <w:tcW w:w="4428" w:type="dxa"/>
            <w:tcBorders/>
          </w:tcPr>
          <w:p>
            <w:pPr>
              <w:pStyle w:val="Normal"/>
              <w:jc w:val="both"/>
              <w:rPr/>
            </w:pPr>
            <w:r>
              <w:rPr/>
              <w:t>The weighted average price per Basket Unit Component Share at which BSIL executes its initial hedge to the transaction</w:t>
            </w:r>
          </w:p>
          <w:p>
            <w:pPr>
              <w:pStyle w:val="Normal"/>
              <w:jc w:val="both"/>
              <w:rPr/>
            </w:pPr>
            <w:r>
              <w:rPr/>
            </w:r>
          </w:p>
        </w:tc>
      </w:tr>
      <w:tr>
        <w:trPr/>
        <w:tc>
          <w:tcPr>
            <w:tcW w:w="4428" w:type="dxa"/>
            <w:tcBorders/>
          </w:tcPr>
          <w:p>
            <w:pPr>
              <w:pStyle w:val="Normal"/>
              <w:rPr>
                <w:b/>
              </w:rPr>
            </w:pPr>
            <w:r>
              <w:rPr>
                <w:b/>
              </w:rPr>
              <w:t>Number of Basket Units:</w:t>
            </w:r>
          </w:p>
        </w:tc>
        <w:tc>
          <w:tcPr>
            <w:tcW w:w="4428" w:type="dxa"/>
            <w:tcBorders/>
          </w:tcPr>
          <w:p>
            <w:pPr>
              <w:pStyle w:val="BodyText"/>
              <w:rPr/>
            </w:pPr>
            <w:r>
              <w:rPr/>
              <w:t>Approximately [100,000] Basket Units</w:t>
            </w:r>
          </w:p>
          <w:p>
            <w:pPr>
              <w:pStyle w:val="Normal"/>
              <w:jc w:val="both"/>
              <w:rPr/>
            </w:pPr>
            <w:r>
              <w:rPr/>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b/>
              </w:rPr>
              <w:t>Basket Swap Notional</w:t>
            </w:r>
            <w:r>
              <w:rPr>
                <w:rFonts w:cs="Times New Roman Bold;Times New Roman" w:ascii="Times New Roman Bold;Times New Roman" w:hAnsi="Times New Roman Bold;Times New Roman"/>
                <w:b/>
                <w:vertAlign w:val="subscript"/>
              </w:rPr>
              <w:t>initial</w:t>
            </w:r>
            <w:r>
              <w:rPr>
                <w:b/>
              </w:rPr>
              <w:t>:</w:t>
            </w:r>
          </w:p>
        </w:tc>
        <w:tc>
          <w:tcPr>
            <w:tcW w:w="4428" w:type="dxa"/>
            <w:tcBorders/>
          </w:tcPr>
          <w:p>
            <w:pPr>
              <w:pStyle w:val="Normal"/>
              <w:jc w:val="both"/>
              <w:rPr/>
            </w:pPr>
            <w:r>
              <w:rPr/>
              <w:t>[USD 1,000,000,000] or Basket Unit</w:t>
            </w:r>
            <w:r>
              <w:rPr>
                <w:vertAlign w:val="subscript"/>
              </w:rPr>
              <w:t>initial</w:t>
            </w:r>
            <w:r>
              <w:rPr/>
              <w:t xml:space="preserve"> multiplied by Number of Basket Units</w:t>
            </w:r>
          </w:p>
          <w:p>
            <w:pPr>
              <w:pStyle w:val="Normal"/>
              <w:jc w:val="both"/>
              <w:rPr/>
            </w:pPr>
            <w:r>
              <w:rPr/>
            </w:r>
          </w:p>
        </w:tc>
      </w:tr>
      <w:tr>
        <w:trPr/>
        <w:tc>
          <w:tcPr>
            <w:tcW w:w="4428" w:type="dxa"/>
            <w:tcBorders/>
          </w:tcPr>
          <w:p>
            <w:pPr>
              <w:pStyle w:val="Normal"/>
              <w:rPr>
                <w:b/>
              </w:rPr>
            </w:pPr>
            <w:r>
              <w:rPr>
                <w:b/>
              </w:rPr>
              <w:t>Basket Swap Interest Rate:</w:t>
            </w:r>
          </w:p>
          <w:p>
            <w:pPr>
              <w:pStyle w:val="Normal"/>
              <w:rPr>
                <w:b/>
              </w:rPr>
            </w:pPr>
            <w:r>
              <w:rPr>
                <w:b/>
              </w:rPr>
            </w:r>
          </w:p>
        </w:tc>
        <w:tc>
          <w:tcPr>
            <w:tcW w:w="4428" w:type="dxa"/>
            <w:tcBorders/>
          </w:tcPr>
          <w:p>
            <w:pPr>
              <w:pStyle w:val="Normal"/>
              <w:jc w:val="both"/>
              <w:rPr/>
            </w:pPr>
            <w:r>
              <w:rPr/>
              <w:t>[TBD] calculated based on Basket Swap Notional</w:t>
            </w:r>
            <w:r>
              <w:rPr>
                <w:vertAlign w:val="subscript"/>
              </w:rPr>
              <w:t>initial</w:t>
            </w:r>
            <w:r>
              <w:rPr/>
              <w:t xml:space="preserve"> on an annually compounded, actual/365 day basis payable by Party A to Party B on each Basket Swap Interest Payment Date</w:t>
            </w:r>
          </w:p>
          <w:p>
            <w:pPr>
              <w:pStyle w:val="Normal"/>
              <w:jc w:val="both"/>
              <w:rPr/>
            </w:pPr>
            <w:r>
              <w:rPr/>
            </w:r>
          </w:p>
        </w:tc>
      </w:tr>
      <w:tr>
        <w:trPr/>
        <w:tc>
          <w:tcPr>
            <w:tcW w:w="4428" w:type="dxa"/>
            <w:tcBorders/>
          </w:tcPr>
          <w:p>
            <w:pPr>
              <w:pStyle w:val="Normal"/>
              <w:rPr>
                <w:b/>
              </w:rPr>
            </w:pPr>
            <w:r>
              <w:rPr>
                <w:b/>
              </w:rPr>
              <w:t>Basket Swap Interest Payment Dates:</w:t>
            </w:r>
          </w:p>
          <w:p>
            <w:pPr>
              <w:pStyle w:val="Normal"/>
              <w:rPr>
                <w:b/>
              </w:rPr>
            </w:pPr>
            <w:r>
              <w:rPr>
                <w:b/>
              </w:rPr>
            </w:r>
          </w:p>
        </w:tc>
        <w:tc>
          <w:tcPr>
            <w:tcW w:w="4428" w:type="dxa"/>
            <w:tcBorders/>
          </w:tcPr>
          <w:p>
            <w:pPr>
              <w:pStyle w:val="Normal"/>
              <w:jc w:val="both"/>
              <w:rPr/>
            </w:pPr>
            <w:r>
              <w:rPr/>
              <w:t>[TBD]</w:t>
            </w:r>
          </w:p>
        </w:tc>
      </w:tr>
      <w:tr>
        <w:trPr/>
        <w:tc>
          <w:tcPr>
            <w:tcW w:w="4428" w:type="dxa"/>
            <w:tcBorders/>
          </w:tcPr>
          <w:p>
            <w:pPr>
              <w:pStyle w:val="Normal"/>
              <w:rPr>
                <w:b/>
              </w:rPr>
            </w:pPr>
            <w:r>
              <w:rPr>
                <w:b/>
              </w:rPr>
              <w:t>Basket Swap Floor Price:</w:t>
            </w:r>
          </w:p>
        </w:tc>
        <w:tc>
          <w:tcPr>
            <w:tcW w:w="4428" w:type="dxa"/>
            <w:tcBorders/>
          </w:tcPr>
          <w:p>
            <w:pPr>
              <w:pStyle w:val="Normal"/>
              <w:jc w:val="both"/>
              <w:rPr/>
            </w:pPr>
            <w:r>
              <w:rPr/>
              <w:t>[85%] of Basket Unit</w:t>
            </w:r>
            <w:r>
              <w:rPr>
                <w:vertAlign w:val="subscript"/>
              </w:rPr>
              <w:t>initial</w:t>
            </w:r>
            <w:r>
              <w:rPr/>
              <w:t xml:space="preserve"> less the Dividend Adjustment Amount</w:t>
            </w:r>
          </w:p>
          <w:p>
            <w:pPr>
              <w:pStyle w:val="Normal"/>
              <w:jc w:val="both"/>
              <w:rPr/>
            </w:pPr>
            <w:r>
              <w:rPr/>
            </w:r>
          </w:p>
        </w:tc>
      </w:tr>
      <w:tr>
        <w:trPr/>
        <w:tc>
          <w:tcPr>
            <w:tcW w:w="4428" w:type="dxa"/>
            <w:tcBorders/>
          </w:tcPr>
          <w:p>
            <w:pPr>
              <w:pStyle w:val="Normal"/>
              <w:rPr>
                <w:b/>
              </w:rPr>
            </w:pPr>
            <w:r>
              <w:rPr>
                <w:b/>
              </w:rPr>
              <w:t>Basket Swap Cap Price:</w:t>
            </w:r>
          </w:p>
          <w:p>
            <w:pPr>
              <w:pStyle w:val="Normal"/>
              <w:rPr>
                <w:b/>
              </w:rPr>
            </w:pPr>
            <w:r>
              <w:rPr>
                <w:b/>
              </w:rPr>
            </w:r>
          </w:p>
        </w:tc>
        <w:tc>
          <w:tcPr>
            <w:tcW w:w="4428" w:type="dxa"/>
            <w:tcBorders/>
          </w:tcPr>
          <w:p>
            <w:pPr>
              <w:pStyle w:val="Normal"/>
              <w:jc w:val="both"/>
              <w:rPr/>
            </w:pPr>
            <w:r>
              <w:rPr/>
              <w:t>[200%] of Basket Unit</w:t>
            </w:r>
            <w:r>
              <w:rPr>
                <w:vertAlign w:val="subscript"/>
              </w:rPr>
              <w:t>initial</w:t>
            </w:r>
            <w:r>
              <w:rPr/>
              <w:t xml:space="preserve"> less the Dividend Adjustment Amount</w:t>
            </w:r>
          </w:p>
          <w:p>
            <w:pPr>
              <w:pStyle w:val="Normal"/>
              <w:jc w:val="both"/>
              <w:rPr/>
            </w:pPr>
            <w:r>
              <w:rPr/>
            </w:r>
          </w:p>
        </w:tc>
      </w:tr>
      <w:tr>
        <w:trPr/>
        <w:tc>
          <w:tcPr>
            <w:tcW w:w="4428" w:type="dxa"/>
            <w:tcBorders/>
          </w:tcPr>
          <w:p>
            <w:pPr>
              <w:pStyle w:val="Normal"/>
              <w:rPr>
                <w:b/>
              </w:rPr>
            </w:pPr>
            <w:r>
              <w:rPr>
                <w:b/>
              </w:rPr>
              <w:t>Basket Collar Net Premium:</w:t>
            </w:r>
          </w:p>
          <w:p>
            <w:pPr>
              <w:pStyle w:val="Normal"/>
              <w:rPr>
                <w:b/>
              </w:rPr>
            </w:pPr>
            <w:r>
              <w:rPr>
                <w:b/>
              </w:rPr>
            </w:r>
          </w:p>
        </w:tc>
        <w:tc>
          <w:tcPr>
            <w:tcW w:w="4428" w:type="dxa"/>
            <w:tcBorders/>
          </w:tcPr>
          <w:p>
            <w:pPr>
              <w:pStyle w:val="Normal"/>
              <w:jc w:val="both"/>
              <w:rPr/>
            </w:pPr>
            <w:r>
              <w:rPr/>
              <w:t>[TBD] payable by Party A to Party B (Note: For accounting reasons, Party A’s preference is to be long the embedded collar on a net purchased or costless basis.)</w:t>
            </w:r>
          </w:p>
          <w:p>
            <w:pPr>
              <w:pStyle w:val="Normal"/>
              <w:jc w:val="both"/>
              <w:rPr/>
            </w:pPr>
            <w:r>
              <w:rPr/>
            </w:r>
          </w:p>
        </w:tc>
      </w:tr>
      <w:tr>
        <w:trPr/>
        <w:tc>
          <w:tcPr>
            <w:tcW w:w="4428" w:type="dxa"/>
            <w:tcBorders/>
          </w:tcPr>
          <w:p>
            <w:pPr>
              <w:pStyle w:val="Normal"/>
              <w:rPr>
                <w:b/>
              </w:rPr>
            </w:pPr>
            <w:r>
              <w:rPr>
                <w:b/>
              </w:rPr>
              <w:t>Basket Swap Dividend Adjustment Amount:</w:t>
            </w:r>
          </w:p>
        </w:tc>
        <w:tc>
          <w:tcPr>
            <w:tcW w:w="4428" w:type="dxa"/>
            <w:tcBorders/>
          </w:tcPr>
          <w:p>
            <w:pPr>
              <w:pStyle w:val="Normal"/>
              <w:jc w:val="both"/>
              <w:rPr/>
            </w:pPr>
            <w:r>
              <w:rPr/>
              <w:t>The sum in USD of all Dividends paid on Basket Unit Component Shares during the life of the transaction divided by Number of Basket Units</w:t>
            </w:r>
          </w:p>
          <w:p>
            <w:pPr>
              <w:pStyle w:val="Normal"/>
              <w:jc w:val="both"/>
              <w:rPr/>
            </w:pPr>
            <w:r>
              <w:rPr/>
            </w:r>
          </w:p>
        </w:tc>
      </w:tr>
      <w:tr>
        <w:trPr/>
        <w:tc>
          <w:tcPr>
            <w:tcW w:w="4428" w:type="dxa"/>
            <w:tcBorders/>
          </w:tcPr>
          <w:p>
            <w:pPr>
              <w:pStyle w:val="Normal"/>
              <w:rPr/>
            </w:pPr>
            <w:r>
              <w:rPr>
                <w:b/>
              </w:rPr>
              <w:t>Basket Unit Component Share Spot</w:t>
            </w:r>
            <w:r>
              <w:rPr>
                <w:rFonts w:cs="Times New Roman Bold;Times New Roman" w:ascii="Times New Roman Bold;Times New Roman" w:hAnsi="Times New Roman Bold;Times New Roman"/>
                <w:b/>
                <w:vertAlign w:val="subscript"/>
              </w:rPr>
              <w:t>final</w:t>
            </w:r>
            <w:r>
              <w:rPr>
                <w:b/>
              </w:rPr>
              <w:t>:</w:t>
            </w:r>
          </w:p>
        </w:tc>
        <w:tc>
          <w:tcPr>
            <w:tcW w:w="4428" w:type="dxa"/>
            <w:tcBorders/>
          </w:tcPr>
          <w:p>
            <w:pPr>
              <w:pStyle w:val="Normal"/>
              <w:jc w:val="both"/>
              <w:rPr/>
            </w:pPr>
            <w:r>
              <w:rPr/>
              <w:t>The weighted average price per Basket Unit Component Share at which BSIL executes its final hedge to the transaction</w:t>
            </w:r>
          </w:p>
          <w:p>
            <w:pPr>
              <w:pStyle w:val="Normal"/>
              <w:jc w:val="both"/>
              <w:rPr/>
            </w:pPr>
            <w:r>
              <w:rPr/>
            </w:r>
          </w:p>
        </w:tc>
      </w:tr>
      <w:tr>
        <w:trPr/>
        <w:tc>
          <w:tcPr>
            <w:tcW w:w="4428" w:type="dxa"/>
            <w:tcBorders/>
          </w:tcPr>
          <w:p>
            <w:pPr>
              <w:pStyle w:val="Normal"/>
              <w:rPr/>
            </w:pPr>
            <w:r>
              <w:rPr>
                <w:b/>
              </w:rPr>
              <w:t>Basket Unit</w:t>
            </w:r>
            <w:r>
              <w:rPr>
                <w:rFonts w:cs="Times New Roman Bold;Times New Roman" w:ascii="Times New Roman Bold;Times New Roman" w:hAnsi="Times New Roman Bold;Times New Roman"/>
                <w:b/>
                <w:vertAlign w:val="subscript"/>
              </w:rPr>
              <w:t>final</w:t>
            </w:r>
            <w:r>
              <w:rPr>
                <w:b/>
              </w:rPr>
              <w:t>:</w:t>
            </w:r>
          </w:p>
          <w:p>
            <w:pPr>
              <w:pStyle w:val="Normal"/>
              <w:rPr>
                <w:b/>
              </w:rPr>
            </w:pPr>
            <w:r>
              <w:rPr>
                <w:b/>
              </w:rPr>
            </w:r>
          </w:p>
          <w:p>
            <w:pPr>
              <w:pStyle w:val="Normal"/>
              <w:rPr>
                <w:b/>
              </w:rPr>
            </w:pPr>
            <w:r>
              <w:rPr>
                <w:b/>
              </w:rPr>
            </w:r>
          </w:p>
        </w:tc>
        <w:tc>
          <w:tcPr>
            <w:tcW w:w="4428" w:type="dxa"/>
            <w:tcBorders/>
          </w:tcPr>
          <w:p>
            <w:pPr>
              <w:pStyle w:val="BodyText"/>
              <w:rPr/>
            </w:pPr>
            <w:r>
              <w:rPr/>
              <w:t>The sum of the products of the Number of Basket Unit Component Shares and the respective Basket Unit Component Share Spot</w:t>
            </w:r>
            <w:r>
              <w:rPr>
                <w:vertAlign w:val="subscript"/>
              </w:rPr>
              <w:t>final</w:t>
            </w:r>
          </w:p>
          <w:p>
            <w:pPr>
              <w:pStyle w:val="BodyText"/>
              <w:rPr/>
            </w:pPr>
            <w:r>
              <w:rPr/>
            </w:r>
          </w:p>
        </w:tc>
      </w:tr>
      <w:tr>
        <w:trPr/>
        <w:tc>
          <w:tcPr>
            <w:tcW w:w="4428" w:type="dxa"/>
            <w:tcBorders/>
          </w:tcPr>
          <w:p>
            <w:pPr>
              <w:pStyle w:val="Normal"/>
              <w:rPr/>
            </w:pPr>
            <w:r>
              <w:rPr>
                <w:b/>
              </w:rPr>
              <w:t>Basket Swap Notional</w:t>
            </w:r>
            <w:r>
              <w:rPr>
                <w:rFonts w:cs="Times New Roman Bold;Times New Roman" w:ascii="Times New Roman Bold;Times New Roman" w:hAnsi="Times New Roman Bold;Times New Roman"/>
                <w:b/>
                <w:vertAlign w:val="subscript"/>
              </w:rPr>
              <w:t>final</w:t>
            </w:r>
            <w:r>
              <w:rPr>
                <w:b/>
              </w:rPr>
              <w:t>:</w:t>
            </w:r>
          </w:p>
        </w:tc>
        <w:tc>
          <w:tcPr>
            <w:tcW w:w="4428" w:type="dxa"/>
            <w:tcBorders/>
          </w:tcPr>
          <w:p>
            <w:pPr>
              <w:pStyle w:val="Normal"/>
              <w:jc w:val="both"/>
              <w:rPr/>
            </w:pPr>
            <w:r>
              <w:rPr/>
              <w:t>Number of Basket Units multiplied by Basket Unit</w:t>
            </w:r>
            <w:r>
              <w:rPr>
                <w:vertAlign w:val="subscript"/>
              </w:rPr>
              <w:t>final</w:t>
            </w:r>
          </w:p>
          <w:p>
            <w:pPr>
              <w:pStyle w:val="Normal"/>
              <w:jc w:val="both"/>
              <w:rPr>
                <w:vertAlign w:val="subscript"/>
              </w:rPr>
            </w:pPr>
            <w:r>
              <w:rPr>
                <w:vertAlign w:val="subscript"/>
              </w:rPr>
            </w:r>
          </w:p>
        </w:tc>
      </w:tr>
    </w:tbl>
    <w:p>
      <w:pPr>
        <w:pStyle w:val="Normal"/>
        <w:rPr/>
      </w:pPr>
      <w:r>
        <w:rPr/>
      </w:r>
      <w:r>
        <w:br w:type="page"/>
      </w:r>
    </w:p>
    <w:p>
      <w:pPr>
        <w:pStyle w:val="Header"/>
        <w:tabs>
          <w:tab w:val="clear" w:pos="4320"/>
          <w:tab w:val="clear" w:pos="8640"/>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Basket Swap Floor Intrinsic</w:t>
            </w:r>
            <w:r>
              <w:rPr>
                <w:rFonts w:cs="Times New Roman Bold;Times New Roman" w:ascii="Times New Roman Bold;Times New Roman" w:hAnsi="Times New Roman Bold;Times New Roman"/>
                <w:b/>
                <w:vertAlign w:val="subscript"/>
              </w:rPr>
              <w:t>final</w:t>
            </w:r>
          </w:p>
          <w:p>
            <w:pPr>
              <w:pStyle w:val="Normal"/>
              <w:rPr>
                <w:b/>
              </w:rPr>
            </w:pPr>
            <w:r>
              <w:rPr>
                <w:b/>
              </w:rPr>
            </w:r>
          </w:p>
        </w:tc>
        <w:tc>
          <w:tcPr>
            <w:tcW w:w="4428" w:type="dxa"/>
            <w:tcBorders/>
          </w:tcPr>
          <w:p>
            <w:pPr>
              <w:pStyle w:val="Normal"/>
              <w:jc w:val="both"/>
              <w:rPr/>
            </w:pPr>
            <w:r>
              <w:rPr/>
              <w:t>Basket Swap Floor Price multiplied by Number of Basket Units less Basket Swap Notional</w:t>
            </w:r>
            <w:r>
              <w:rPr>
                <w:vertAlign w:val="subscript"/>
              </w:rPr>
              <w:t>final</w:t>
            </w:r>
            <w:r>
              <w:rPr/>
              <w:t xml:space="preserve"> if Basket Unit</w:t>
            </w:r>
            <w:r>
              <w:rPr>
                <w:vertAlign w:val="subscript"/>
              </w:rPr>
              <w:t>final</w:t>
            </w:r>
            <w:r>
              <w:rPr/>
              <w:t xml:space="preserve"> is less than Basket Swap Floor Price, else, zero</w:t>
            </w:r>
          </w:p>
          <w:p>
            <w:pPr>
              <w:pStyle w:val="Normal"/>
              <w:jc w:val="both"/>
              <w:rPr/>
            </w:pPr>
            <w:r>
              <w:rPr/>
            </w:r>
          </w:p>
        </w:tc>
      </w:tr>
      <w:tr>
        <w:trPr/>
        <w:tc>
          <w:tcPr>
            <w:tcW w:w="4428" w:type="dxa"/>
            <w:tcBorders/>
          </w:tcPr>
          <w:p>
            <w:pPr>
              <w:pStyle w:val="Normal"/>
              <w:rPr>
                <w:b/>
              </w:rPr>
            </w:pPr>
            <w:r>
              <w:rPr>
                <w:b/>
              </w:rPr>
              <w:t>Basket Swap Cap Intrinsic</w:t>
            </w:r>
            <w:r>
              <w:rPr>
                <w:rFonts w:cs="Times New Roman Bold;Times New Roman" w:ascii="Times New Roman Bold;Times New Roman" w:hAnsi="Times New Roman Bold;Times New Roman"/>
                <w:b/>
                <w:vertAlign w:val="subscript"/>
              </w:rPr>
              <w:t>final</w:t>
            </w:r>
          </w:p>
          <w:p>
            <w:pPr>
              <w:pStyle w:val="Normal"/>
              <w:rPr>
                <w:b/>
              </w:rPr>
            </w:pPr>
            <w:r>
              <w:rPr>
                <w:b/>
              </w:rPr>
            </w:r>
          </w:p>
        </w:tc>
        <w:tc>
          <w:tcPr>
            <w:tcW w:w="4428" w:type="dxa"/>
            <w:tcBorders/>
          </w:tcPr>
          <w:p>
            <w:pPr>
              <w:pStyle w:val="Normal"/>
              <w:jc w:val="both"/>
              <w:rPr/>
            </w:pPr>
            <w:r>
              <w:rPr/>
              <w:t>Basket Swap Notional</w:t>
            </w:r>
            <w:r>
              <w:rPr>
                <w:vertAlign w:val="subscript"/>
              </w:rPr>
              <w:t>final</w:t>
            </w:r>
            <w:r>
              <w:rPr/>
              <w:t xml:space="preserve"> less the product of Basket Swap Cap Price and Number of Basket Units if Basket Unit</w:t>
            </w:r>
            <w:r>
              <w:rPr>
                <w:vertAlign w:val="subscript"/>
              </w:rPr>
              <w:t>final</w:t>
            </w:r>
            <w:r>
              <w:rPr/>
              <w:t xml:space="preserve"> is greater than Basket Swap Cap Price, else, zero</w:t>
            </w:r>
          </w:p>
          <w:p>
            <w:pPr>
              <w:pStyle w:val="Normal"/>
              <w:jc w:val="both"/>
              <w:rPr/>
            </w:pPr>
            <w:r>
              <w:rPr/>
            </w:r>
          </w:p>
        </w:tc>
      </w:tr>
    </w:tbl>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Secondary Share:</w:t>
            </w:r>
          </w:p>
          <w:p>
            <w:pPr>
              <w:pStyle w:val="Normal"/>
              <w:rPr>
                <w:b/>
              </w:rPr>
            </w:pPr>
            <w:r>
              <w:rPr>
                <w:b/>
              </w:rPr>
            </w:r>
          </w:p>
        </w:tc>
        <w:tc>
          <w:tcPr>
            <w:tcW w:w="4428" w:type="dxa"/>
            <w:tcBorders/>
          </w:tcPr>
          <w:p>
            <w:pPr>
              <w:pStyle w:val="Normal"/>
              <w:jc w:val="both"/>
              <w:rPr/>
            </w:pPr>
            <w:r>
              <w:rPr/>
              <w:t>Eletricidade e Servicos S.A. (Elektro) Common Shares</w:t>
            </w:r>
          </w:p>
          <w:p>
            <w:pPr>
              <w:pStyle w:val="Normal"/>
              <w:jc w:val="both"/>
              <w:rPr/>
            </w:pPr>
            <w:r>
              <w:rPr/>
            </w:r>
          </w:p>
        </w:tc>
      </w:tr>
      <w:tr>
        <w:trPr/>
        <w:tc>
          <w:tcPr>
            <w:tcW w:w="4428" w:type="dxa"/>
            <w:tcBorders/>
          </w:tcPr>
          <w:p>
            <w:pPr>
              <w:pStyle w:val="Normal"/>
              <w:rPr>
                <w:b/>
              </w:rPr>
            </w:pPr>
            <w:r>
              <w:rPr>
                <w:b/>
              </w:rPr>
              <w:t>Number of Secondary Shares:</w:t>
            </w:r>
          </w:p>
          <w:p>
            <w:pPr>
              <w:pStyle w:val="Normal"/>
              <w:rPr>
                <w:b/>
              </w:rPr>
            </w:pPr>
            <w:r>
              <w:rPr>
                <w:b/>
              </w:rPr>
            </w:r>
          </w:p>
        </w:tc>
        <w:tc>
          <w:tcPr>
            <w:tcW w:w="4428" w:type="dxa"/>
            <w:tcBorders/>
          </w:tcPr>
          <w:p>
            <w:pPr>
              <w:pStyle w:val="Normal"/>
              <w:jc w:val="both"/>
              <w:rPr/>
            </w:pPr>
            <w:r>
              <w:rPr/>
              <w:t>[34,978,619,327] or [49%] of outstanding [71,384,937,402] Secondary Shares</w:t>
            </w:r>
          </w:p>
          <w:p>
            <w:pPr>
              <w:pStyle w:val="Normal"/>
              <w:jc w:val="both"/>
              <w:rPr/>
            </w:pPr>
            <w:r>
              <w:rPr/>
            </w:r>
          </w:p>
        </w:tc>
      </w:tr>
      <w:tr>
        <w:trPr/>
        <w:tc>
          <w:tcPr>
            <w:tcW w:w="4428" w:type="dxa"/>
            <w:tcBorders/>
          </w:tcPr>
          <w:p>
            <w:pPr>
              <w:pStyle w:val="Normal"/>
              <w:rPr>
                <w:b/>
              </w:rPr>
            </w:pPr>
            <w:r>
              <w:rPr>
                <w:b/>
              </w:rPr>
              <w:t>Secondary Share Swap Dividend Adjustment Amount:</w:t>
            </w:r>
          </w:p>
        </w:tc>
        <w:tc>
          <w:tcPr>
            <w:tcW w:w="4428" w:type="dxa"/>
            <w:tcBorders/>
          </w:tcPr>
          <w:p>
            <w:pPr>
              <w:pStyle w:val="Normal"/>
              <w:jc w:val="both"/>
              <w:rPr/>
            </w:pPr>
            <w:r>
              <w:rPr/>
              <w:t>The sum in USD of all Dividends paid on Secondary Shares during the life of the transaction divided by Number of Secondary Shares</w:t>
            </w:r>
          </w:p>
          <w:p>
            <w:pPr>
              <w:pStyle w:val="Normal"/>
              <w:jc w:val="both"/>
              <w:rPr/>
            </w:pPr>
            <w:r>
              <w:rPr/>
            </w:r>
          </w:p>
        </w:tc>
      </w:tr>
      <w:tr>
        <w:trPr/>
        <w:tc>
          <w:tcPr>
            <w:tcW w:w="4428" w:type="dxa"/>
            <w:tcBorders/>
          </w:tcPr>
          <w:p>
            <w:pPr>
              <w:pStyle w:val="Normal"/>
              <w:rPr/>
            </w:pPr>
            <w:r>
              <w:rPr>
                <w:b/>
              </w:rPr>
              <w:t>Secondary Share Spot</w:t>
            </w:r>
            <w:r>
              <w:rPr>
                <w:rFonts w:cs="Times New Roman Bold;Times New Roman" w:ascii="Times New Roman Bold;Times New Roman" w:hAnsi="Times New Roman Bold;Times New Roman"/>
                <w:b/>
                <w:vertAlign w:val="subscript"/>
              </w:rPr>
              <w:t>final</w:t>
            </w:r>
            <w:r>
              <w:rPr>
                <w:b/>
              </w:rPr>
              <w:t>:</w:t>
            </w:r>
          </w:p>
        </w:tc>
        <w:tc>
          <w:tcPr>
            <w:tcW w:w="4428" w:type="dxa"/>
            <w:tcBorders/>
          </w:tcPr>
          <w:p>
            <w:pPr>
              <w:pStyle w:val="Normal"/>
              <w:jc w:val="both"/>
              <w:rPr/>
            </w:pPr>
            <w:r>
              <w:rPr/>
              <w:t>The weighted average price per Secondary Share at which BSIL executes its final hedge to the transaction</w:t>
            </w:r>
          </w:p>
          <w:p>
            <w:pPr>
              <w:pStyle w:val="Normal"/>
              <w:jc w:val="both"/>
              <w:rPr/>
            </w:pPr>
            <w:r>
              <w:rPr/>
            </w:r>
          </w:p>
        </w:tc>
      </w:tr>
      <w:tr>
        <w:trPr/>
        <w:tc>
          <w:tcPr>
            <w:tcW w:w="4428" w:type="dxa"/>
            <w:tcBorders/>
          </w:tcPr>
          <w:p>
            <w:pPr>
              <w:pStyle w:val="Normal"/>
              <w:rPr/>
            </w:pPr>
            <w:r>
              <w:rPr>
                <w:b/>
              </w:rPr>
              <w:t>Secondary Share Swap Notional</w:t>
            </w:r>
            <w:r>
              <w:rPr>
                <w:rFonts w:cs="Times New Roman Bold;Times New Roman" w:ascii="Times New Roman Bold;Times New Roman" w:hAnsi="Times New Roman Bold;Times New Roman"/>
                <w:b/>
                <w:vertAlign w:val="subscript"/>
              </w:rPr>
              <w:t>final</w:t>
            </w:r>
            <w:r>
              <w:rPr>
                <w:b/>
              </w:rPr>
              <w:t>:</w:t>
            </w:r>
          </w:p>
        </w:tc>
        <w:tc>
          <w:tcPr>
            <w:tcW w:w="4428" w:type="dxa"/>
            <w:tcBorders/>
          </w:tcPr>
          <w:p>
            <w:pPr>
              <w:pStyle w:val="Normal"/>
              <w:jc w:val="both"/>
              <w:rPr/>
            </w:pPr>
            <w:r>
              <w:rPr/>
              <w:t>Number of Secondary Shares multiplied by Secondary Share Spot</w:t>
            </w:r>
            <w:r>
              <w:rPr>
                <w:vertAlign w:val="subscript"/>
              </w:rPr>
              <w:t>final</w:t>
            </w:r>
          </w:p>
          <w:p>
            <w:pPr>
              <w:pStyle w:val="Normal"/>
              <w:jc w:val="both"/>
              <w:rPr>
                <w:vertAlign w:val="subscript"/>
              </w:rPr>
            </w:pPr>
            <w:r>
              <w:rPr>
                <w:vertAlign w:val="subscript"/>
              </w:rPr>
            </w:r>
          </w:p>
        </w:tc>
      </w:tr>
    </w:tbl>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Tertiary Share:</w:t>
            </w:r>
          </w:p>
          <w:p>
            <w:pPr>
              <w:pStyle w:val="Normal"/>
              <w:rPr>
                <w:b/>
              </w:rPr>
            </w:pPr>
            <w:r>
              <w:rPr>
                <w:b/>
              </w:rPr>
            </w:r>
          </w:p>
        </w:tc>
        <w:tc>
          <w:tcPr>
            <w:tcW w:w="4428" w:type="dxa"/>
            <w:tcBorders/>
          </w:tcPr>
          <w:p>
            <w:pPr>
              <w:pStyle w:val="Normal"/>
              <w:jc w:val="both"/>
              <w:rPr/>
            </w:pPr>
            <w:r>
              <w:rPr/>
              <w:t>Eletricidade e Servicos S.A. (Elektro) Preferred Shares</w:t>
            </w:r>
          </w:p>
          <w:p>
            <w:pPr>
              <w:pStyle w:val="Normal"/>
              <w:jc w:val="both"/>
              <w:rPr/>
            </w:pPr>
            <w:r>
              <w:rPr/>
            </w:r>
          </w:p>
        </w:tc>
      </w:tr>
      <w:tr>
        <w:trPr/>
        <w:tc>
          <w:tcPr>
            <w:tcW w:w="4428" w:type="dxa"/>
            <w:tcBorders/>
          </w:tcPr>
          <w:p>
            <w:pPr>
              <w:pStyle w:val="Normal"/>
              <w:rPr>
                <w:b/>
              </w:rPr>
            </w:pPr>
            <w:r>
              <w:rPr>
                <w:b/>
              </w:rPr>
              <w:t>Number of Tertiary Shares:</w:t>
            </w:r>
          </w:p>
          <w:p>
            <w:pPr>
              <w:pStyle w:val="Normal"/>
              <w:rPr>
                <w:b/>
              </w:rPr>
            </w:pPr>
            <w:r>
              <w:rPr>
                <w:b/>
              </w:rPr>
            </w:r>
          </w:p>
        </w:tc>
        <w:tc>
          <w:tcPr>
            <w:tcW w:w="4428" w:type="dxa"/>
            <w:tcBorders/>
          </w:tcPr>
          <w:p>
            <w:pPr>
              <w:pStyle w:val="Normal"/>
              <w:jc w:val="both"/>
              <w:rPr/>
            </w:pPr>
            <w:r>
              <w:rPr/>
              <w:t>[32,539,393,049] or [49%] of outstanding [66,406,924,589] Tertiary Shares</w:t>
            </w:r>
          </w:p>
          <w:p>
            <w:pPr>
              <w:pStyle w:val="Normal"/>
              <w:jc w:val="both"/>
              <w:rPr/>
            </w:pPr>
            <w:r>
              <w:rPr/>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Tertiary Share Swap Dividend Adjustment Amount:</w:t>
            </w:r>
          </w:p>
        </w:tc>
        <w:tc>
          <w:tcPr>
            <w:tcW w:w="4428" w:type="dxa"/>
            <w:tcBorders/>
          </w:tcPr>
          <w:p>
            <w:pPr>
              <w:pStyle w:val="Normal"/>
              <w:jc w:val="both"/>
              <w:rPr/>
            </w:pPr>
            <w:r>
              <w:rPr/>
              <w:t>The sum in USD of all Dividends paid on Tertiary Shares during the life of the transaction divided by Number of Secondary Shares</w:t>
            </w:r>
          </w:p>
          <w:p>
            <w:pPr>
              <w:pStyle w:val="Normal"/>
              <w:jc w:val="both"/>
              <w:rPr/>
            </w:pPr>
            <w:r>
              <w:rPr/>
            </w:r>
          </w:p>
        </w:tc>
      </w:tr>
      <w:tr>
        <w:trPr/>
        <w:tc>
          <w:tcPr>
            <w:tcW w:w="4428" w:type="dxa"/>
            <w:tcBorders/>
          </w:tcPr>
          <w:p>
            <w:pPr>
              <w:pStyle w:val="Normal"/>
              <w:rPr/>
            </w:pPr>
            <w:r>
              <w:rPr>
                <w:b/>
              </w:rPr>
              <w:t>Tertiary Share Spot</w:t>
            </w:r>
            <w:r>
              <w:rPr>
                <w:rFonts w:cs="Times New Roman Bold;Times New Roman" w:ascii="Times New Roman Bold;Times New Roman" w:hAnsi="Times New Roman Bold;Times New Roman"/>
                <w:b/>
                <w:vertAlign w:val="subscript"/>
              </w:rPr>
              <w:t>final</w:t>
            </w:r>
            <w:r>
              <w:rPr>
                <w:b/>
              </w:rPr>
              <w:t>:</w:t>
            </w:r>
          </w:p>
        </w:tc>
        <w:tc>
          <w:tcPr>
            <w:tcW w:w="4428" w:type="dxa"/>
            <w:tcBorders/>
          </w:tcPr>
          <w:p>
            <w:pPr>
              <w:pStyle w:val="Normal"/>
              <w:jc w:val="both"/>
              <w:rPr/>
            </w:pPr>
            <w:r>
              <w:rPr/>
              <w:t>The weighted average price per Tertiary Share at which BSIL executes its final hedge to the transaction</w:t>
            </w:r>
          </w:p>
          <w:p>
            <w:pPr>
              <w:pStyle w:val="Normal"/>
              <w:jc w:val="both"/>
              <w:rPr/>
            </w:pPr>
            <w:r>
              <w:rPr/>
            </w:r>
          </w:p>
        </w:tc>
      </w:tr>
      <w:tr>
        <w:trPr/>
        <w:tc>
          <w:tcPr>
            <w:tcW w:w="4428" w:type="dxa"/>
            <w:tcBorders/>
          </w:tcPr>
          <w:p>
            <w:pPr>
              <w:pStyle w:val="Normal"/>
              <w:rPr/>
            </w:pPr>
            <w:r>
              <w:rPr>
                <w:b/>
              </w:rPr>
              <w:t>Tertiary Share Swap Notional</w:t>
            </w:r>
            <w:r>
              <w:rPr>
                <w:rFonts w:cs="Times New Roman Bold;Times New Roman" w:ascii="Times New Roman Bold;Times New Roman" w:hAnsi="Times New Roman Bold;Times New Roman"/>
                <w:b/>
                <w:vertAlign w:val="subscript"/>
              </w:rPr>
              <w:t>final</w:t>
            </w:r>
            <w:r>
              <w:rPr>
                <w:b/>
              </w:rPr>
              <w:t>:</w:t>
            </w:r>
          </w:p>
        </w:tc>
        <w:tc>
          <w:tcPr>
            <w:tcW w:w="4428" w:type="dxa"/>
            <w:tcBorders/>
          </w:tcPr>
          <w:p>
            <w:pPr>
              <w:pStyle w:val="Normal"/>
              <w:jc w:val="both"/>
              <w:rPr/>
            </w:pPr>
            <w:r>
              <w:rPr/>
              <w:t>Number of Tertiary Shares multiplied by Secondary Share Spot</w:t>
            </w:r>
            <w:r>
              <w:rPr>
                <w:vertAlign w:val="subscript"/>
              </w:rPr>
              <w:t>final</w:t>
            </w:r>
          </w:p>
          <w:p>
            <w:pPr>
              <w:pStyle w:val="Normal"/>
              <w:jc w:val="both"/>
              <w:rPr>
                <w:vertAlign w:val="subscript"/>
              </w:rPr>
            </w:pPr>
            <w:r>
              <w:rPr>
                <w:vertAlign w:val="subscript"/>
              </w:rPr>
            </w:r>
          </w:p>
        </w:tc>
      </w:tr>
    </w:tbl>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Expiration Date:</w:t>
            </w:r>
          </w:p>
          <w:p>
            <w:pPr>
              <w:pStyle w:val="Normal"/>
              <w:rPr>
                <w:b/>
              </w:rPr>
            </w:pPr>
            <w:r>
              <w:rPr>
                <w:b/>
              </w:rPr>
            </w:r>
          </w:p>
        </w:tc>
        <w:tc>
          <w:tcPr>
            <w:tcW w:w="4428" w:type="dxa"/>
            <w:tcBorders/>
          </w:tcPr>
          <w:p>
            <w:pPr>
              <w:pStyle w:val="Normal"/>
              <w:jc w:val="both"/>
              <w:rPr/>
            </w:pPr>
            <w:r>
              <w:rPr/>
              <w:t>Trade Date plus [5] years (Note: The final transaction is likely to have an average life of [5] years with a series of tranches of equal size expiring quarterly beginning in year [4] and ending in year [6].)</w:t>
            </w:r>
          </w:p>
          <w:p>
            <w:pPr>
              <w:pStyle w:val="Normal"/>
              <w:jc w:val="both"/>
              <w:rPr/>
            </w:pPr>
            <w:r>
              <w:rPr/>
              <w:t xml:space="preserve"> </w:t>
            </w:r>
          </w:p>
        </w:tc>
      </w:tr>
      <w:tr>
        <w:trPr/>
        <w:tc>
          <w:tcPr>
            <w:tcW w:w="4428" w:type="dxa"/>
            <w:tcBorders/>
          </w:tcPr>
          <w:p>
            <w:pPr>
              <w:pStyle w:val="Normal"/>
              <w:rPr>
                <w:b/>
              </w:rPr>
            </w:pPr>
            <w:r>
              <w:rPr>
                <w:b/>
              </w:rPr>
              <w:t>Expiration Settlement Date:</w:t>
            </w:r>
          </w:p>
          <w:p>
            <w:pPr>
              <w:pStyle w:val="Normal"/>
              <w:rPr>
                <w:b/>
              </w:rPr>
            </w:pPr>
            <w:r>
              <w:rPr>
                <w:b/>
              </w:rPr>
            </w:r>
          </w:p>
        </w:tc>
        <w:tc>
          <w:tcPr>
            <w:tcW w:w="4428" w:type="dxa"/>
            <w:tcBorders/>
          </w:tcPr>
          <w:p>
            <w:pPr>
              <w:pStyle w:val="Normal"/>
              <w:jc w:val="both"/>
              <w:rPr/>
            </w:pPr>
            <w:r>
              <w:rPr/>
              <w:t>The third Exchange Business Day following the Expiration Date</w:t>
            </w:r>
          </w:p>
          <w:p>
            <w:pPr>
              <w:pStyle w:val="Normal"/>
              <w:jc w:val="both"/>
              <w:rPr/>
            </w:pPr>
            <w:r>
              <w:rPr/>
            </w:r>
          </w:p>
        </w:tc>
      </w:tr>
      <w:tr>
        <w:trPr/>
        <w:tc>
          <w:tcPr>
            <w:tcW w:w="4428" w:type="dxa"/>
            <w:tcBorders/>
          </w:tcPr>
          <w:p>
            <w:pPr>
              <w:pStyle w:val="Normal"/>
              <w:rPr>
                <w:b/>
              </w:rPr>
            </w:pPr>
            <w:r>
              <w:rPr>
                <w:b/>
              </w:rPr>
              <w:t>Settlement Type:</w:t>
            </w:r>
          </w:p>
        </w:tc>
        <w:tc>
          <w:tcPr>
            <w:tcW w:w="4428" w:type="dxa"/>
            <w:tcBorders/>
          </w:tcPr>
          <w:p>
            <w:pPr>
              <w:pStyle w:val="Normal"/>
              <w:jc w:val="both"/>
              <w:rPr/>
            </w:pPr>
            <w:r>
              <w:rPr/>
              <w:t>Cash</w:t>
            </w:r>
          </w:p>
          <w:p>
            <w:pPr>
              <w:pStyle w:val="Normal"/>
              <w:jc w:val="both"/>
              <w:rPr/>
            </w:pPr>
            <w:r>
              <w:rPr/>
            </w:r>
          </w:p>
        </w:tc>
      </w:tr>
    </w:tbl>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Settlement Amount:</w:t>
            </w:r>
          </w:p>
          <w:p>
            <w:pPr>
              <w:pStyle w:val="Normal"/>
              <w:rPr>
                <w:b/>
              </w:rPr>
            </w:pPr>
            <w:r>
              <w:rPr>
                <w:b/>
              </w:rPr>
            </w:r>
          </w:p>
        </w:tc>
        <w:tc>
          <w:tcPr>
            <w:tcW w:w="4428" w:type="dxa"/>
            <w:tcBorders/>
          </w:tcPr>
          <w:p>
            <w:pPr>
              <w:pStyle w:val="Normal"/>
              <w:jc w:val="both"/>
              <w:rPr/>
            </w:pPr>
            <w:r>
              <w:rPr/>
              <w:t>Sum of Basket Swap Floor Intrinsic</w:t>
            </w:r>
            <w:r>
              <w:rPr>
                <w:vertAlign w:val="subscript"/>
              </w:rPr>
              <w:t>final</w:t>
            </w:r>
            <w:r>
              <w:rPr/>
              <w:t>,  Secondary Share Swap Notional</w:t>
            </w:r>
            <w:r>
              <w:rPr>
                <w:vertAlign w:val="subscript"/>
              </w:rPr>
              <w:t>final</w:t>
            </w:r>
            <w:r>
              <w:rPr/>
              <w:t xml:space="preserve"> and Tertiary Share Swap Notional</w:t>
            </w:r>
            <w:r>
              <w:rPr>
                <w:vertAlign w:val="subscript"/>
              </w:rPr>
              <w:t>final</w:t>
            </w:r>
            <w:r>
              <w:rPr/>
              <w:t>, less the sum of Basket Swap Cap Intrinsic</w:t>
            </w:r>
            <w:r>
              <w:rPr>
                <w:vertAlign w:val="subscript"/>
              </w:rPr>
              <w:t>final</w:t>
            </w:r>
            <w:r>
              <w:rPr/>
              <w:t>, Basket Swap Notional</w:t>
            </w:r>
            <w:r>
              <w:rPr>
                <w:vertAlign w:val="subscript"/>
              </w:rPr>
              <w:t>initial</w:t>
            </w:r>
            <w:r>
              <w:rPr/>
              <w:t xml:space="preserve"> and </w:t>
            </w:r>
            <w:r>
              <w:rPr>
                <w:bCs/>
              </w:rPr>
              <w:t>Basket Swap Dividend Adjustment Amount</w:t>
            </w:r>
          </w:p>
          <w:p>
            <w:pPr>
              <w:pStyle w:val="Normal"/>
              <w:jc w:val="both"/>
              <w:rPr>
                <w:bCs/>
              </w:rPr>
            </w:pPr>
            <w:r>
              <w:rPr>
                <w:bCs/>
              </w:rPr>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Determination of Settlement Amount Payor and Payee:</w:t>
            </w:r>
          </w:p>
          <w:p>
            <w:pPr>
              <w:pStyle w:val="Normal"/>
              <w:rPr>
                <w:b/>
              </w:rPr>
            </w:pPr>
            <w:r>
              <w:rPr>
                <w:b/>
              </w:rPr>
            </w:r>
          </w:p>
        </w:tc>
        <w:tc>
          <w:tcPr>
            <w:tcW w:w="4428" w:type="dxa"/>
            <w:tcBorders/>
          </w:tcPr>
          <w:p>
            <w:pPr>
              <w:pStyle w:val="BodyText"/>
              <w:rPr/>
            </w:pPr>
            <w:r>
              <w:rPr/>
              <w:t>If Settlement Amount &gt; 0, then Party B will pay Swap Settlement Amount to Party A</w:t>
            </w:r>
          </w:p>
          <w:p>
            <w:pPr>
              <w:pStyle w:val="BodyText"/>
              <w:rPr/>
            </w:pPr>
            <w:r>
              <w:rPr/>
            </w:r>
          </w:p>
          <w:p>
            <w:pPr>
              <w:pStyle w:val="BodyText"/>
              <w:rPr/>
            </w:pPr>
            <w:r>
              <w:rPr/>
              <w:t>If Settlement Amount &lt; 0, then Party A will pay the absolute value of Settlement Amount to Party B</w:t>
            </w:r>
          </w:p>
          <w:p>
            <w:pPr>
              <w:pStyle w:val="BodyText"/>
              <w:rPr/>
            </w:pPr>
            <w:r>
              <w:rPr/>
            </w:r>
          </w:p>
          <w:p>
            <w:pPr>
              <w:pStyle w:val="BodyText"/>
              <w:rPr/>
            </w:pPr>
            <w:r>
              <w:rPr/>
              <w:t>If Settlement Amount = 0, then neither Party A nor Party B will be required to pay any amount to the other</w:t>
            </w:r>
          </w:p>
          <w:p>
            <w:pPr>
              <w:pStyle w:val="BodyText"/>
              <w:rPr/>
            </w:pPr>
            <w:r>
              <w:rPr/>
            </w:r>
          </w:p>
        </w:tc>
      </w:tr>
      <w:tr>
        <w:trPr/>
        <w:tc>
          <w:tcPr>
            <w:tcW w:w="4428" w:type="dxa"/>
            <w:tcBorders/>
          </w:tcPr>
          <w:p>
            <w:pPr>
              <w:pStyle w:val="Normal"/>
              <w:rPr>
                <w:b/>
              </w:rPr>
            </w:pPr>
            <w:r>
              <w:rPr>
                <w:b/>
              </w:rPr>
              <w:t>Collateral:</w:t>
            </w:r>
          </w:p>
          <w:p>
            <w:pPr>
              <w:pStyle w:val="Normal"/>
              <w:rPr>
                <w:b/>
              </w:rPr>
            </w:pPr>
            <w:r>
              <w:rPr>
                <w:b/>
              </w:rPr>
            </w:r>
          </w:p>
        </w:tc>
        <w:tc>
          <w:tcPr>
            <w:tcW w:w="4428" w:type="dxa"/>
            <w:tcBorders/>
          </w:tcPr>
          <w:p>
            <w:pPr>
              <w:pStyle w:val="BodyText"/>
              <w:rPr/>
            </w:pPr>
            <w:r>
              <w:rPr/>
              <w:t>[TBD]</w:t>
            </w:r>
          </w:p>
          <w:p>
            <w:pPr>
              <w:pStyle w:val="Normal"/>
              <w:jc w:val="both"/>
              <w:rPr/>
            </w:pPr>
            <w:r>
              <w:rPr/>
            </w:r>
          </w:p>
        </w:tc>
      </w:tr>
      <w:tr>
        <w:trPr/>
        <w:tc>
          <w:tcPr>
            <w:tcW w:w="4428" w:type="dxa"/>
            <w:tcBorders/>
          </w:tcPr>
          <w:p>
            <w:pPr>
              <w:pStyle w:val="Normal"/>
              <w:rPr>
                <w:b/>
              </w:rPr>
            </w:pPr>
            <w:r>
              <w:rPr>
                <w:b/>
              </w:rPr>
              <w:t>Guarantee:</w:t>
            </w:r>
          </w:p>
          <w:p>
            <w:pPr>
              <w:pStyle w:val="Normal"/>
              <w:rPr>
                <w:b/>
              </w:rPr>
            </w:pPr>
            <w:r>
              <w:rPr>
                <w:b/>
              </w:rPr>
            </w:r>
          </w:p>
        </w:tc>
        <w:tc>
          <w:tcPr>
            <w:tcW w:w="4428" w:type="dxa"/>
            <w:tcBorders/>
          </w:tcPr>
          <w:p>
            <w:pPr>
              <w:pStyle w:val="BodyText"/>
              <w:rPr/>
            </w:pPr>
            <w:r>
              <w:rPr/>
              <w:t>Party B will receive the irrevocable, unconditional guarantee of payment and performance from Enron Corp. for any obligations of Party A to Party B (including, without limitation, losses resulting from stock borrow arrangements) under the Collared Swap Agreement before 9:30 AM Eastern Standard Time on the Trade Date</w:t>
            </w:r>
          </w:p>
          <w:p>
            <w:pPr>
              <w:pStyle w:val="Normal"/>
              <w:jc w:val="both"/>
              <w:rPr/>
            </w:pPr>
            <w:r>
              <w:rPr/>
            </w:r>
          </w:p>
        </w:tc>
      </w:tr>
      <w:tr>
        <w:trPr/>
        <w:tc>
          <w:tcPr>
            <w:tcW w:w="4428" w:type="dxa"/>
            <w:tcBorders/>
          </w:tcPr>
          <w:p>
            <w:pPr>
              <w:pStyle w:val="Normal"/>
              <w:rPr>
                <w:b/>
              </w:rPr>
            </w:pPr>
            <w:r>
              <w:rPr>
                <w:b/>
              </w:rPr>
              <w:t>Additional Termination Event:</w:t>
            </w:r>
          </w:p>
          <w:p>
            <w:pPr>
              <w:pStyle w:val="Normal"/>
              <w:rPr>
                <w:b/>
              </w:rPr>
            </w:pPr>
            <w:r>
              <w:rPr>
                <w:b/>
              </w:rPr>
            </w:r>
          </w:p>
        </w:tc>
        <w:tc>
          <w:tcPr>
            <w:tcW w:w="4428" w:type="dxa"/>
            <w:tcBorders/>
          </w:tcPr>
          <w:p>
            <w:pPr>
              <w:pStyle w:val="Normal"/>
              <w:jc w:val="both"/>
              <w:rPr/>
            </w:pPr>
            <w:r>
              <w:rPr/>
              <w:t>Disposition of Party B’s hedge in Secondary and Tertiary Shares prior to Expiration</w:t>
            </w:r>
          </w:p>
          <w:p>
            <w:pPr>
              <w:pStyle w:val="Normal"/>
              <w:jc w:val="both"/>
              <w:rPr/>
            </w:pPr>
            <w:r>
              <w:rPr/>
            </w:r>
          </w:p>
        </w:tc>
      </w:tr>
      <w:tr>
        <w:trPr/>
        <w:tc>
          <w:tcPr>
            <w:tcW w:w="4428" w:type="dxa"/>
            <w:tcBorders/>
          </w:tcPr>
          <w:p>
            <w:pPr>
              <w:pStyle w:val="Normal"/>
              <w:rPr>
                <w:b/>
              </w:rPr>
            </w:pPr>
            <w:r>
              <w:rPr>
                <w:b/>
              </w:rPr>
              <w:t>Continuation Event:</w:t>
            </w:r>
          </w:p>
        </w:tc>
        <w:tc>
          <w:tcPr>
            <w:tcW w:w="4428" w:type="dxa"/>
            <w:tcBorders/>
          </w:tcPr>
          <w:p>
            <w:pPr>
              <w:pStyle w:val="Normal"/>
              <w:jc w:val="both"/>
              <w:rPr/>
            </w:pPr>
            <w:r>
              <w:rPr/>
              <w:t>If Party B is unable to unwind its hedges (at the sole discretion of the Calculation Agent) in Secondary and Tertiary Shares prior to Expiration, then Collared Swap will settle as described herein on the Expiration Date(s) with the exception that any and all net economics (including a reasonable profit for Party B) associated with Party B’s hedge in Secondary and Tertiary Shares will be passed through to Party A (with a continuing Guarantee from Enron Corp.) until Party B finally disposes of its hedges in Secondary and Tertiary Shares</w:t>
            </w:r>
          </w:p>
          <w:p>
            <w:pPr>
              <w:pStyle w:val="Normal"/>
              <w:jc w:val="both"/>
              <w:rPr/>
            </w:pPr>
            <w:r>
              <w:rPr/>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Condition Precedent:</w:t>
            </w:r>
          </w:p>
        </w:tc>
        <w:tc>
          <w:tcPr>
            <w:tcW w:w="4428" w:type="dxa"/>
            <w:tcBorders/>
          </w:tcPr>
          <w:p>
            <w:pPr>
              <w:pStyle w:val="Normal"/>
              <w:jc w:val="both"/>
              <w:rPr/>
            </w:pPr>
            <w:r>
              <w:rPr/>
              <w:t>Contract of Sale for [34,978,619,327] Secondary Shares or [49%] of [71,384,937,402] outstanding Secondary Shares and [32,539,393,049] Tertiary Shares or [49%] of [66,406,924,589] outstanding Tertiary Shares</w:t>
            </w:r>
          </w:p>
          <w:p>
            <w:pPr>
              <w:pStyle w:val="Normal"/>
              <w:jc w:val="both"/>
              <w:rPr/>
            </w:pPr>
            <w:r>
              <w:rPr/>
            </w:r>
          </w:p>
        </w:tc>
      </w:tr>
      <w:tr>
        <w:trPr/>
        <w:tc>
          <w:tcPr>
            <w:tcW w:w="4428" w:type="dxa"/>
            <w:tcBorders/>
          </w:tcPr>
          <w:p>
            <w:pPr>
              <w:pStyle w:val="Normal"/>
              <w:rPr>
                <w:b/>
              </w:rPr>
            </w:pPr>
            <w:r>
              <w:rPr>
                <w:b/>
              </w:rPr>
              <w:t>Calculation Agent:</w:t>
            </w:r>
          </w:p>
        </w:tc>
        <w:tc>
          <w:tcPr>
            <w:tcW w:w="4428" w:type="dxa"/>
            <w:tcBorders/>
          </w:tcPr>
          <w:p>
            <w:pPr>
              <w:pStyle w:val="Normal"/>
              <w:jc w:val="both"/>
              <w:rPr/>
            </w:pPr>
            <w:r>
              <w:rPr/>
              <w:t>BSIL</w:t>
            </w:r>
          </w:p>
          <w:p>
            <w:pPr>
              <w:pStyle w:val="Normal"/>
              <w:jc w:val="both"/>
              <w:rPr/>
            </w:pPr>
            <w:r>
              <w:rPr/>
            </w:r>
          </w:p>
        </w:tc>
      </w:tr>
      <w:tr>
        <w:trPr/>
        <w:tc>
          <w:tcPr>
            <w:tcW w:w="4428" w:type="dxa"/>
            <w:tcBorders/>
          </w:tcPr>
          <w:p>
            <w:pPr>
              <w:pStyle w:val="Normal"/>
              <w:rPr>
                <w:b/>
              </w:rPr>
            </w:pPr>
            <w:r>
              <w:rPr>
                <w:b/>
              </w:rPr>
              <w:t>Applicable Law:</w:t>
            </w:r>
          </w:p>
        </w:tc>
        <w:tc>
          <w:tcPr>
            <w:tcW w:w="4428" w:type="dxa"/>
            <w:tcBorders/>
          </w:tcPr>
          <w:p>
            <w:pPr>
              <w:pStyle w:val="Normal"/>
              <w:jc w:val="both"/>
              <w:rPr/>
            </w:pPr>
            <w:r>
              <w:rPr/>
              <w:t>NY</w:t>
            </w:r>
          </w:p>
          <w:p>
            <w:pPr>
              <w:pStyle w:val="Normal"/>
              <w:jc w:val="both"/>
              <w:rPr/>
            </w:pPr>
            <w:r>
              <w:rPr/>
            </w:r>
          </w:p>
        </w:tc>
      </w:tr>
      <w:tr>
        <w:trPr/>
        <w:tc>
          <w:tcPr>
            <w:tcW w:w="4428" w:type="dxa"/>
            <w:tcBorders/>
          </w:tcPr>
          <w:p>
            <w:pPr>
              <w:pStyle w:val="Normal"/>
              <w:rPr>
                <w:b/>
              </w:rPr>
            </w:pPr>
            <w:r>
              <w:rPr>
                <w:b/>
              </w:rPr>
              <w:t>Structuring Fee:</w:t>
            </w:r>
          </w:p>
          <w:p>
            <w:pPr>
              <w:pStyle w:val="Normal"/>
              <w:rPr>
                <w:b/>
              </w:rPr>
            </w:pPr>
            <w:r>
              <w:rPr>
                <w:b/>
              </w:rPr>
            </w:r>
          </w:p>
        </w:tc>
        <w:tc>
          <w:tcPr>
            <w:tcW w:w="4428" w:type="dxa"/>
            <w:tcBorders/>
          </w:tcPr>
          <w:p>
            <w:pPr>
              <w:pStyle w:val="Normal"/>
              <w:jc w:val="both"/>
              <w:rPr/>
            </w:pPr>
            <w:r>
              <w:rPr/>
              <w:t>[TBA]</w:t>
            </w:r>
          </w:p>
        </w:tc>
      </w:tr>
      <w:tr>
        <w:trPr/>
        <w:tc>
          <w:tcPr>
            <w:tcW w:w="4428" w:type="dxa"/>
            <w:tcBorders/>
          </w:tcPr>
          <w:p>
            <w:pPr>
              <w:pStyle w:val="Normal"/>
              <w:rPr>
                <w:b/>
              </w:rPr>
            </w:pPr>
            <w:r>
              <w:rPr>
                <w:b/>
              </w:rPr>
              <w:t>Other Material Provisions of the Collared Swap Contract:</w:t>
            </w:r>
          </w:p>
        </w:tc>
        <w:tc>
          <w:tcPr>
            <w:tcW w:w="4428" w:type="dxa"/>
            <w:tcBorders/>
          </w:tcPr>
          <w:p>
            <w:pPr>
              <w:pStyle w:val="Normal"/>
              <w:jc w:val="both"/>
              <w:rPr/>
            </w:pPr>
            <w:r>
              <w:rPr/>
              <w:t>The foregoing is not, and is not intended to be, a complete summary of the provisions of the Collared Swap Contract. The Collared Swap Contract will contain other material provisions in addition to those outlined above. Other material provisions include but are not limited to:</w:t>
            </w:r>
          </w:p>
          <w:p>
            <w:pPr>
              <w:pStyle w:val="BulletLevel2"/>
              <w:numPr>
                <w:ilvl w:val="0"/>
                <w:numId w:val="2"/>
              </w:numPr>
              <w:rPr/>
            </w:pPr>
            <w:r>
              <w:rPr/>
              <w:t>market disruption events</w:t>
            </w:r>
          </w:p>
          <w:p>
            <w:pPr>
              <w:pStyle w:val="BulletLevel2"/>
              <w:numPr>
                <w:ilvl w:val="0"/>
                <w:numId w:val="2"/>
              </w:numPr>
              <w:rPr/>
            </w:pPr>
            <w:r>
              <w:rPr/>
              <w:t>mergers</w:t>
            </w:r>
          </w:p>
          <w:p>
            <w:pPr>
              <w:pStyle w:val="Normal"/>
              <w:jc w:val="both"/>
              <w:rPr/>
            </w:pPr>
            <w:r>
              <w:rPr/>
            </w:r>
          </w:p>
        </w:tc>
      </w:tr>
    </w:tbl>
    <w:p>
      <w:pPr>
        <w:pStyle w:val="BodyText"/>
        <w:tabs>
          <w:tab w:val="clear" w:pos="720"/>
          <w:tab w:val="left" w:pos="1440" w:leader="none"/>
        </w:tabs>
        <w:rPr/>
      </w:pPr>
      <w:r>
        <w:rPr/>
      </w:r>
    </w:p>
    <w:p>
      <w:pPr>
        <w:pStyle w:val="BodyText"/>
        <w:tabs>
          <w:tab w:val="clear" w:pos="720"/>
          <w:tab w:val="left" w:pos="1440" w:leader="none"/>
        </w:tabs>
        <w:rPr/>
      </w:pPr>
      <w:r>
        <w:rPr/>
      </w:r>
    </w:p>
    <w:p>
      <w:pPr>
        <w:pStyle w:val="BodyText"/>
        <w:tabs>
          <w:tab w:val="clear" w:pos="720"/>
          <w:tab w:val="left" w:pos="1440" w:leader="none"/>
        </w:tabs>
        <w:rPr/>
      </w:pPr>
      <w:r>
        <w:rPr/>
      </w:r>
    </w:p>
    <w:tbl>
      <w:tblPr>
        <w:tblW w:w="11600" w:type="dxa"/>
        <w:jc w:val="start"/>
        <w:tblInd w:w="-1485" w:type="dxa"/>
        <w:tblLayout w:type="fixed"/>
        <w:tblCellMar>
          <w:top w:w="15" w:type="dxa"/>
          <w:start w:w="15" w:type="dxa"/>
          <w:bottom w:w="0" w:type="dxa"/>
          <w:end w:w="15" w:type="dxa"/>
        </w:tblCellMar>
      </w:tblPr>
      <w:tblGrid>
        <w:gridCol w:w="5620"/>
        <w:gridCol w:w="700"/>
        <w:gridCol w:w="580"/>
        <w:gridCol w:w="900"/>
        <w:gridCol w:w="1080"/>
        <w:gridCol w:w="920"/>
        <w:gridCol w:w="1240"/>
        <w:gridCol w:w="560"/>
      </w:tblGrid>
      <w:tr>
        <w:trPr>
          <w:trHeight w:val="255" w:hRule="atLeast"/>
        </w:trPr>
        <w:tc>
          <w:tcPr>
            <w:tcW w:w="5620" w:type="dxa"/>
            <w:tcBorders/>
            <w:vAlign w:val="bottom"/>
          </w:tcPr>
          <w:p>
            <w:pPr>
              <w:pStyle w:val="Normal"/>
              <w:rPr>
                <w:rFonts w:ascii="Arial" w:hAnsi="Arial" w:eastAsia="Arial Unicode MS" w:cs="Arial"/>
                <w:sz w:val="20"/>
              </w:rPr>
            </w:pPr>
            <w:r>
              <w:rPr>
                <w:rFonts w:cs="Arial" w:ascii="Arial" w:hAnsi="Arial"/>
                <w:sz w:val="20"/>
              </w:rPr>
              <w:t>Table: Basket Composition</w:t>
            </w:r>
          </w:p>
        </w:tc>
        <w:tc>
          <w:tcPr>
            <w:tcW w:w="70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580" w:type="dxa"/>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90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8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2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2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5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765" w:hRule="atLeast"/>
        </w:trPr>
        <w:tc>
          <w:tcPr>
            <w:tcW w:w="5620" w:type="dxa"/>
            <w:tcBorders/>
            <w:vAlign w:val="bottom"/>
          </w:tcPr>
          <w:p>
            <w:pPr>
              <w:pStyle w:val="Normal"/>
              <w:rPr>
                <w:rFonts w:ascii="Arial" w:hAnsi="Arial" w:eastAsia="Arial Unicode MS" w:cs="Arial"/>
                <w:sz w:val="20"/>
              </w:rPr>
            </w:pPr>
            <w:r>
              <w:rPr>
                <w:rFonts w:cs="Arial" w:ascii="Arial" w:hAnsi="Arial"/>
                <w:sz w:val="20"/>
              </w:rPr>
              <w:t>Description</w:t>
            </w:r>
          </w:p>
        </w:tc>
        <w:tc>
          <w:tcPr>
            <w:tcW w:w="700" w:type="dxa"/>
            <w:tcBorders/>
            <w:vAlign w:val="bottom"/>
          </w:tcPr>
          <w:p>
            <w:pPr>
              <w:pStyle w:val="Normal"/>
              <w:jc w:val="center"/>
              <w:rPr>
                <w:rFonts w:ascii="Arial" w:hAnsi="Arial" w:eastAsia="Arial Unicode MS" w:cs="Arial"/>
                <w:sz w:val="20"/>
              </w:rPr>
            </w:pPr>
            <w:r>
              <w:rPr>
                <w:rFonts w:cs="Arial" w:ascii="Arial" w:hAnsi="Arial"/>
                <w:sz w:val="20"/>
              </w:rPr>
              <w:t>ADR</w:t>
            </w:r>
          </w:p>
        </w:tc>
        <w:tc>
          <w:tcPr>
            <w:tcW w:w="580" w:type="dxa"/>
            <w:tcBorders/>
            <w:vAlign w:val="bottom"/>
          </w:tcPr>
          <w:p>
            <w:pPr>
              <w:pStyle w:val="Normal"/>
              <w:jc w:val="center"/>
              <w:rPr>
                <w:rFonts w:ascii="Arial" w:hAnsi="Arial" w:eastAsia="Arial Unicode MS" w:cs="Arial"/>
                <w:sz w:val="20"/>
              </w:rPr>
            </w:pPr>
            <w:r>
              <w:rPr>
                <w:rFonts w:cs="Arial" w:ascii="Arial" w:hAnsi="Arial"/>
                <w:sz w:val="20"/>
              </w:rPr>
              <w:t>Initial Spot</w:t>
            </w:r>
          </w:p>
        </w:tc>
        <w:tc>
          <w:tcPr>
            <w:tcW w:w="900" w:type="dxa"/>
            <w:tcBorders/>
            <w:vAlign w:val="bottom"/>
          </w:tcPr>
          <w:p>
            <w:pPr>
              <w:pStyle w:val="Normal"/>
              <w:jc w:val="center"/>
              <w:rPr>
                <w:rFonts w:ascii="Arial" w:hAnsi="Arial" w:eastAsia="Arial Unicode MS" w:cs="Arial"/>
                <w:sz w:val="20"/>
              </w:rPr>
            </w:pPr>
            <w:r>
              <w:rPr>
                <w:rFonts w:cs="Arial" w:ascii="Arial" w:hAnsi="Arial"/>
                <w:sz w:val="20"/>
              </w:rPr>
              <w:t>Initial Value %</w:t>
            </w:r>
          </w:p>
        </w:tc>
        <w:tc>
          <w:tcPr>
            <w:tcW w:w="1080" w:type="dxa"/>
            <w:tcBorders/>
            <w:vAlign w:val="bottom"/>
          </w:tcPr>
          <w:p>
            <w:pPr>
              <w:pStyle w:val="Normal"/>
              <w:jc w:val="center"/>
              <w:rPr>
                <w:rFonts w:ascii="Arial" w:hAnsi="Arial" w:eastAsia="Arial Unicode MS" w:cs="Arial"/>
                <w:sz w:val="20"/>
              </w:rPr>
            </w:pPr>
            <w:r>
              <w:rPr>
                <w:rFonts w:cs="Arial" w:ascii="Arial" w:hAnsi="Arial"/>
                <w:sz w:val="20"/>
              </w:rPr>
              <w:t>Initial</w:t>
              <w:br/>
              <w:t>Value $</w:t>
            </w:r>
          </w:p>
        </w:tc>
        <w:tc>
          <w:tcPr>
            <w:tcW w:w="920" w:type="dxa"/>
            <w:tcBorders/>
            <w:vAlign w:val="bottom"/>
          </w:tcPr>
          <w:p>
            <w:pPr>
              <w:pStyle w:val="Normal"/>
              <w:jc w:val="center"/>
              <w:rPr>
                <w:rFonts w:ascii="Arial" w:hAnsi="Arial" w:eastAsia="Arial Unicode MS" w:cs="Arial"/>
                <w:sz w:val="20"/>
              </w:rPr>
            </w:pPr>
            <w:r>
              <w:rPr>
                <w:rFonts w:cs="Arial" w:ascii="Arial" w:hAnsi="Arial"/>
                <w:sz w:val="20"/>
              </w:rPr>
              <w:t>Number of Shares</w:t>
            </w:r>
          </w:p>
        </w:tc>
        <w:tc>
          <w:tcPr>
            <w:tcW w:w="1240" w:type="dxa"/>
            <w:tcBorders/>
            <w:vAlign w:val="bottom"/>
          </w:tcPr>
          <w:p>
            <w:pPr>
              <w:pStyle w:val="Normal"/>
              <w:jc w:val="center"/>
              <w:rPr>
                <w:rFonts w:ascii="Arial" w:hAnsi="Arial" w:eastAsia="Arial Unicode MS" w:cs="Arial"/>
                <w:sz w:val="20"/>
              </w:rPr>
            </w:pPr>
            <w:r>
              <w:rPr>
                <w:rFonts w:cs="Arial" w:ascii="Arial" w:hAnsi="Arial"/>
                <w:sz w:val="20"/>
              </w:rPr>
              <w:t>Local Share</w:t>
            </w:r>
          </w:p>
        </w:tc>
        <w:tc>
          <w:tcPr>
            <w:tcW w:w="560" w:type="dxa"/>
            <w:tcBorders/>
            <w:vAlign w:val="bottom"/>
          </w:tcPr>
          <w:p>
            <w:pPr>
              <w:pStyle w:val="Normal"/>
              <w:jc w:val="center"/>
              <w:rPr>
                <w:rFonts w:ascii="Arial" w:hAnsi="Arial" w:eastAsia="Arial Unicode MS" w:cs="Arial"/>
                <w:sz w:val="20"/>
              </w:rPr>
            </w:pPr>
            <w:r>
              <w:rPr>
                <w:rFonts w:cs="Arial" w:ascii="Arial" w:hAnsi="Arial"/>
                <w:sz w:val="20"/>
              </w:rPr>
              <w:t>Ratio</w:t>
            </w:r>
          </w:p>
        </w:tc>
      </w:tr>
      <w:tr>
        <w:trPr>
          <w:trHeight w:val="255" w:hRule="atLeast"/>
        </w:trPr>
        <w:tc>
          <w:tcPr>
            <w:tcW w:w="5620" w:type="dxa"/>
            <w:tcBorders/>
            <w:vAlign w:val="bottom"/>
          </w:tcPr>
          <w:p>
            <w:pPr>
              <w:pStyle w:val="Normal"/>
              <w:rPr>
                <w:rFonts w:ascii="Arial" w:hAnsi="Arial" w:eastAsia="Arial Unicode MS" w:cs="Arial"/>
                <w:color w:val="0000FF"/>
                <w:sz w:val="20"/>
              </w:rPr>
            </w:pPr>
            <w:r>
              <w:rPr>
                <w:rFonts w:cs="Arial" w:ascii="Arial" w:hAnsi="Arial"/>
                <w:color w:val="0000FF"/>
                <w:sz w:val="20"/>
              </w:rPr>
              <w:t>Empresa Brasileira de Aeronautica S.A. (Embraer) Preference</w:t>
            </w:r>
          </w:p>
        </w:tc>
        <w:tc>
          <w:tcPr>
            <w:tcW w:w="700" w:type="dxa"/>
            <w:tcBorders/>
            <w:vAlign w:val="bottom"/>
          </w:tcPr>
          <w:p>
            <w:pPr>
              <w:pStyle w:val="Normal"/>
              <w:rPr>
                <w:rFonts w:ascii="Arial" w:hAnsi="Arial" w:eastAsia="Arial Unicode MS" w:cs="Arial"/>
                <w:color w:val="0000FF"/>
                <w:sz w:val="20"/>
              </w:rPr>
            </w:pPr>
            <w:r>
              <w:rPr>
                <w:rFonts w:cs="Arial" w:ascii="Arial" w:hAnsi="Arial"/>
                <w:color w:val="0000FF"/>
                <w:sz w:val="20"/>
              </w:rPr>
              <w:t>ERJ</w:t>
            </w:r>
          </w:p>
        </w:tc>
        <w:tc>
          <w:tcPr>
            <w:tcW w:w="58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24.26</w:t>
            </w:r>
          </w:p>
        </w:tc>
        <w:tc>
          <w:tcPr>
            <w:tcW w:w="900" w:type="dxa"/>
            <w:tcBorders/>
            <w:vAlign w:val="bottom"/>
          </w:tcPr>
          <w:p>
            <w:pPr>
              <w:pStyle w:val="Normal"/>
              <w:jc w:val="end"/>
              <w:rPr>
                <w:rFonts w:ascii="Arial" w:hAnsi="Arial" w:eastAsia="Arial Unicode MS" w:cs="Arial"/>
                <w:sz w:val="20"/>
              </w:rPr>
            </w:pPr>
            <w:r>
              <w:rPr>
                <w:rFonts w:cs="Arial" w:ascii="Arial" w:hAnsi="Arial"/>
                <w:sz w:val="20"/>
              </w:rPr>
              <w:t>12.37%</w:t>
            </w:r>
          </w:p>
        </w:tc>
        <w:tc>
          <w:tcPr>
            <w:tcW w:w="108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1,237.26 </w:t>
            </w:r>
          </w:p>
        </w:tc>
        <w:tc>
          <w:tcPr>
            <w:tcW w:w="92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51 </w:t>
            </w:r>
          </w:p>
        </w:tc>
        <w:tc>
          <w:tcPr>
            <w:tcW w:w="124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EMBR4 BZ</w:t>
            </w:r>
          </w:p>
        </w:tc>
        <w:tc>
          <w:tcPr>
            <w:tcW w:w="56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4</w:t>
            </w:r>
          </w:p>
        </w:tc>
      </w:tr>
      <w:tr>
        <w:trPr>
          <w:trHeight w:val="255" w:hRule="atLeast"/>
        </w:trPr>
        <w:tc>
          <w:tcPr>
            <w:tcW w:w="5620" w:type="dxa"/>
            <w:tcBorders/>
            <w:vAlign w:val="bottom"/>
          </w:tcPr>
          <w:p>
            <w:pPr>
              <w:pStyle w:val="Normal"/>
              <w:rPr>
                <w:rFonts w:ascii="Arial" w:hAnsi="Arial" w:eastAsia="Arial Unicode MS" w:cs="Arial"/>
                <w:color w:val="0000FF"/>
                <w:sz w:val="20"/>
              </w:rPr>
            </w:pPr>
            <w:r>
              <w:rPr>
                <w:rFonts w:cs="Arial" w:ascii="Arial" w:hAnsi="Arial"/>
                <w:color w:val="0000FF"/>
                <w:sz w:val="20"/>
              </w:rPr>
              <w:t>Petroleo Brasileiro S.A. (Petrobras) Common</w:t>
            </w:r>
          </w:p>
        </w:tc>
        <w:tc>
          <w:tcPr>
            <w:tcW w:w="700" w:type="dxa"/>
            <w:tcBorders/>
            <w:vAlign w:val="bottom"/>
          </w:tcPr>
          <w:p>
            <w:pPr>
              <w:pStyle w:val="Normal"/>
              <w:rPr>
                <w:rFonts w:ascii="Arial" w:hAnsi="Arial" w:eastAsia="Arial Unicode MS" w:cs="Arial"/>
                <w:color w:val="0000FF"/>
                <w:sz w:val="20"/>
              </w:rPr>
            </w:pPr>
            <w:r>
              <w:rPr>
                <w:rFonts w:cs="Arial" w:ascii="Arial" w:hAnsi="Arial"/>
                <w:color w:val="0000FF"/>
                <w:sz w:val="20"/>
              </w:rPr>
              <w:t>PBR</w:t>
            </w:r>
          </w:p>
        </w:tc>
        <w:tc>
          <w:tcPr>
            <w:tcW w:w="58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22.01</w:t>
            </w:r>
          </w:p>
        </w:tc>
        <w:tc>
          <w:tcPr>
            <w:tcW w:w="900" w:type="dxa"/>
            <w:tcBorders/>
            <w:vAlign w:val="bottom"/>
          </w:tcPr>
          <w:p>
            <w:pPr>
              <w:pStyle w:val="Normal"/>
              <w:jc w:val="end"/>
              <w:rPr>
                <w:rFonts w:ascii="Arial" w:hAnsi="Arial" w:eastAsia="Arial Unicode MS" w:cs="Arial"/>
                <w:sz w:val="20"/>
              </w:rPr>
            </w:pPr>
            <w:r>
              <w:rPr>
                <w:rFonts w:cs="Arial" w:ascii="Arial" w:hAnsi="Arial"/>
                <w:sz w:val="20"/>
              </w:rPr>
              <w:t>42.04%</w:t>
            </w:r>
          </w:p>
        </w:tc>
        <w:tc>
          <w:tcPr>
            <w:tcW w:w="108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4,203.91 </w:t>
            </w:r>
          </w:p>
        </w:tc>
        <w:tc>
          <w:tcPr>
            <w:tcW w:w="92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191 </w:t>
            </w:r>
          </w:p>
        </w:tc>
        <w:tc>
          <w:tcPr>
            <w:tcW w:w="124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PETR3 BZ</w:t>
            </w:r>
          </w:p>
        </w:tc>
        <w:tc>
          <w:tcPr>
            <w:tcW w:w="56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1</w:t>
            </w:r>
          </w:p>
        </w:tc>
      </w:tr>
      <w:tr>
        <w:trPr>
          <w:trHeight w:val="255" w:hRule="atLeast"/>
        </w:trPr>
        <w:tc>
          <w:tcPr>
            <w:tcW w:w="5620" w:type="dxa"/>
            <w:tcBorders/>
            <w:vAlign w:val="bottom"/>
          </w:tcPr>
          <w:p>
            <w:pPr>
              <w:pStyle w:val="Normal"/>
              <w:rPr>
                <w:rFonts w:ascii="Arial" w:hAnsi="Arial" w:eastAsia="Arial Unicode MS" w:cs="Arial"/>
                <w:color w:val="0000FF"/>
                <w:sz w:val="20"/>
              </w:rPr>
            </w:pPr>
            <w:r>
              <w:rPr>
                <w:rFonts w:cs="Arial" w:ascii="Arial" w:hAnsi="Arial"/>
                <w:color w:val="0000FF"/>
                <w:sz w:val="20"/>
              </w:rPr>
              <w:t>Petroleo Brasileiro S.A. (Petrobras) Preference</w:t>
            </w:r>
          </w:p>
        </w:tc>
        <w:tc>
          <w:tcPr>
            <w:tcW w:w="700" w:type="dxa"/>
            <w:tcBorders/>
            <w:vAlign w:val="bottom"/>
          </w:tcPr>
          <w:p>
            <w:pPr>
              <w:pStyle w:val="Normal"/>
              <w:rPr>
                <w:rFonts w:ascii="Arial" w:hAnsi="Arial" w:eastAsia="Arial Unicode MS" w:cs="Arial"/>
                <w:color w:val="0000FF"/>
                <w:sz w:val="20"/>
              </w:rPr>
            </w:pPr>
            <w:r>
              <w:rPr>
                <w:rFonts w:cs="Arial" w:ascii="Arial" w:hAnsi="Arial"/>
                <w:color w:val="0000FF"/>
                <w:sz w:val="20"/>
              </w:rPr>
              <w:t>PBR/A</w:t>
            </w:r>
          </w:p>
        </w:tc>
        <w:tc>
          <w:tcPr>
            <w:tcW w:w="58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21.15</w:t>
            </w:r>
          </w:p>
        </w:tc>
        <w:tc>
          <w:tcPr>
            <w:tcW w:w="900" w:type="dxa"/>
            <w:tcBorders/>
            <w:vAlign w:val="bottom"/>
          </w:tcPr>
          <w:p>
            <w:pPr>
              <w:pStyle w:val="Normal"/>
              <w:jc w:val="end"/>
              <w:rPr>
                <w:rFonts w:ascii="Arial" w:hAnsi="Arial" w:eastAsia="Arial Unicode MS" w:cs="Arial"/>
                <w:sz w:val="20"/>
              </w:rPr>
            </w:pPr>
            <w:r>
              <w:rPr>
                <w:rFonts w:cs="Arial" w:ascii="Arial" w:hAnsi="Arial"/>
                <w:sz w:val="20"/>
              </w:rPr>
              <w:t>30.03%</w:t>
            </w:r>
          </w:p>
        </w:tc>
        <w:tc>
          <w:tcPr>
            <w:tcW w:w="108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3,003.30 </w:t>
            </w:r>
          </w:p>
        </w:tc>
        <w:tc>
          <w:tcPr>
            <w:tcW w:w="92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142 </w:t>
            </w:r>
          </w:p>
        </w:tc>
        <w:tc>
          <w:tcPr>
            <w:tcW w:w="124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PETR4 BZ</w:t>
            </w:r>
          </w:p>
        </w:tc>
        <w:tc>
          <w:tcPr>
            <w:tcW w:w="56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1</w:t>
            </w:r>
          </w:p>
        </w:tc>
      </w:tr>
      <w:tr>
        <w:trPr>
          <w:trHeight w:val="255" w:hRule="atLeast"/>
        </w:trPr>
        <w:tc>
          <w:tcPr>
            <w:tcW w:w="5620" w:type="dxa"/>
            <w:tcBorders/>
            <w:vAlign w:val="bottom"/>
          </w:tcPr>
          <w:p>
            <w:pPr>
              <w:pStyle w:val="Normal"/>
              <w:rPr>
                <w:rFonts w:ascii="Arial" w:hAnsi="Arial" w:eastAsia="Arial Unicode MS" w:cs="Arial"/>
                <w:color w:val="0000FF"/>
                <w:sz w:val="20"/>
              </w:rPr>
            </w:pPr>
            <w:r>
              <w:rPr>
                <w:rFonts w:cs="Arial" w:ascii="Arial" w:hAnsi="Arial"/>
                <w:color w:val="0000FF"/>
                <w:sz w:val="20"/>
              </w:rPr>
              <w:t>Companhia Vale do Rio Doce (CVRD) Preference</w:t>
            </w:r>
          </w:p>
        </w:tc>
        <w:tc>
          <w:tcPr>
            <w:tcW w:w="700" w:type="dxa"/>
            <w:tcBorders/>
            <w:vAlign w:val="bottom"/>
          </w:tcPr>
          <w:p>
            <w:pPr>
              <w:pStyle w:val="Normal"/>
              <w:rPr>
                <w:rFonts w:ascii="Arial" w:hAnsi="Arial" w:eastAsia="Arial Unicode MS" w:cs="Arial"/>
                <w:color w:val="0000FF"/>
                <w:sz w:val="20"/>
              </w:rPr>
            </w:pPr>
            <w:r>
              <w:rPr>
                <w:rFonts w:cs="Arial" w:ascii="Arial" w:hAnsi="Arial"/>
                <w:color w:val="0000FF"/>
                <w:sz w:val="20"/>
              </w:rPr>
              <w:t>RIO-P</w:t>
            </w:r>
          </w:p>
        </w:tc>
        <w:tc>
          <w:tcPr>
            <w:tcW w:w="58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19.84</w:t>
            </w:r>
          </w:p>
        </w:tc>
        <w:tc>
          <w:tcPr>
            <w:tcW w:w="900" w:type="dxa"/>
            <w:tcBorders/>
            <w:vAlign w:val="bottom"/>
          </w:tcPr>
          <w:p>
            <w:pPr>
              <w:pStyle w:val="Normal"/>
              <w:jc w:val="end"/>
              <w:rPr>
                <w:rFonts w:ascii="Arial" w:hAnsi="Arial" w:eastAsia="Arial Unicode MS" w:cs="Arial"/>
                <w:sz w:val="20"/>
              </w:rPr>
            </w:pPr>
            <w:r>
              <w:rPr>
                <w:rFonts w:cs="Arial" w:ascii="Arial" w:hAnsi="Arial"/>
                <w:sz w:val="20"/>
              </w:rPr>
              <w:t>6.55%</w:t>
            </w:r>
          </w:p>
        </w:tc>
        <w:tc>
          <w:tcPr>
            <w:tcW w:w="108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654.72 </w:t>
            </w:r>
          </w:p>
        </w:tc>
        <w:tc>
          <w:tcPr>
            <w:tcW w:w="92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33 </w:t>
            </w:r>
          </w:p>
        </w:tc>
        <w:tc>
          <w:tcPr>
            <w:tcW w:w="124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VALE5 BZ</w:t>
            </w:r>
          </w:p>
        </w:tc>
        <w:tc>
          <w:tcPr>
            <w:tcW w:w="56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1</w:t>
            </w:r>
          </w:p>
        </w:tc>
      </w:tr>
      <w:tr>
        <w:trPr>
          <w:trHeight w:val="255" w:hRule="atLeast"/>
        </w:trPr>
        <w:tc>
          <w:tcPr>
            <w:tcW w:w="5620" w:type="dxa"/>
            <w:tcBorders/>
            <w:vAlign w:val="bottom"/>
          </w:tcPr>
          <w:p>
            <w:pPr>
              <w:pStyle w:val="Normal"/>
              <w:rPr>
                <w:rFonts w:ascii="Arial" w:hAnsi="Arial" w:eastAsia="Arial Unicode MS" w:cs="Arial"/>
                <w:color w:val="0000FF"/>
                <w:sz w:val="20"/>
              </w:rPr>
            </w:pPr>
            <w:r>
              <w:rPr>
                <w:rFonts w:cs="Arial" w:ascii="Arial" w:hAnsi="Arial"/>
                <w:color w:val="0000FF"/>
                <w:sz w:val="20"/>
              </w:rPr>
              <w:t>Centrais Eletricas Brasileiras S.A. (Eletrobras) Common</w:t>
            </w:r>
          </w:p>
        </w:tc>
        <w:tc>
          <w:tcPr>
            <w:tcW w:w="700" w:type="dxa"/>
            <w:tcBorders/>
            <w:vAlign w:val="bottom"/>
          </w:tcPr>
          <w:p>
            <w:pPr>
              <w:pStyle w:val="Normal"/>
              <w:rPr>
                <w:rFonts w:ascii="Arial" w:hAnsi="Arial" w:eastAsia="Arial Unicode MS" w:cs="Arial"/>
                <w:color w:val="0000FF"/>
                <w:sz w:val="20"/>
              </w:rPr>
            </w:pPr>
            <w:r>
              <w:rPr>
                <w:rFonts w:cs="Arial" w:ascii="Arial" w:hAnsi="Arial"/>
                <w:color w:val="0000FF"/>
                <w:sz w:val="20"/>
              </w:rPr>
              <w:t>CAIFY</w:t>
            </w:r>
          </w:p>
        </w:tc>
        <w:tc>
          <w:tcPr>
            <w:tcW w:w="58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7.15</w:t>
            </w:r>
          </w:p>
        </w:tc>
        <w:tc>
          <w:tcPr>
            <w:tcW w:w="900" w:type="dxa"/>
            <w:tcBorders/>
            <w:vAlign w:val="bottom"/>
          </w:tcPr>
          <w:p>
            <w:pPr>
              <w:pStyle w:val="Normal"/>
              <w:jc w:val="end"/>
              <w:rPr>
                <w:rFonts w:ascii="Arial" w:hAnsi="Arial" w:eastAsia="Arial Unicode MS" w:cs="Arial"/>
                <w:sz w:val="20"/>
              </w:rPr>
            </w:pPr>
            <w:r>
              <w:rPr>
                <w:rFonts w:cs="Arial" w:ascii="Arial" w:hAnsi="Arial"/>
                <w:sz w:val="20"/>
              </w:rPr>
              <w:t>9.01%</w:t>
            </w:r>
          </w:p>
        </w:tc>
        <w:tc>
          <w:tcPr>
            <w:tcW w:w="108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900.90 </w:t>
            </w:r>
          </w:p>
        </w:tc>
        <w:tc>
          <w:tcPr>
            <w:tcW w:w="92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126 </w:t>
            </w:r>
          </w:p>
        </w:tc>
        <w:tc>
          <w:tcPr>
            <w:tcW w:w="124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ELET3 BZ</w:t>
            </w:r>
          </w:p>
        </w:tc>
        <w:tc>
          <w:tcPr>
            <w:tcW w:w="560" w:type="dxa"/>
            <w:tcBorders/>
            <w:vAlign w:val="bottom"/>
          </w:tcPr>
          <w:p>
            <w:pPr>
              <w:pStyle w:val="Normal"/>
              <w:jc w:val="center"/>
              <w:rPr>
                <w:rFonts w:ascii="Arial" w:hAnsi="Arial" w:eastAsia="Arial Unicode MS" w:cs="Arial"/>
                <w:color w:val="0000FF"/>
                <w:sz w:val="20"/>
              </w:rPr>
            </w:pPr>
            <w:r>
              <w:rPr>
                <w:rFonts w:cs="Arial" w:ascii="Arial" w:hAnsi="Arial"/>
                <w:color w:val="0000FF"/>
                <w:sz w:val="20"/>
              </w:rPr>
              <w:t>500</w:t>
            </w:r>
          </w:p>
        </w:tc>
      </w:tr>
      <w:tr>
        <w:trPr>
          <w:trHeight w:val="255" w:hRule="atLeast"/>
        </w:trPr>
        <w:tc>
          <w:tcPr>
            <w:tcW w:w="5620" w:type="dxa"/>
            <w:tcBorders/>
            <w:vAlign w:val="bottom"/>
          </w:tcPr>
          <w:p>
            <w:pPr>
              <w:pStyle w:val="Normal"/>
              <w:rPr>
                <w:rFonts w:ascii="Arial" w:hAnsi="Arial" w:eastAsia="Arial Unicode MS" w:cs="Arial"/>
                <w:sz w:val="20"/>
              </w:rPr>
            </w:pPr>
            <w:r>
              <w:rPr>
                <w:rFonts w:cs="Arial" w:ascii="Arial" w:hAnsi="Arial"/>
                <w:sz w:val="20"/>
              </w:rPr>
              <w:t>Total</w:t>
            </w:r>
          </w:p>
        </w:tc>
        <w:tc>
          <w:tcPr>
            <w:tcW w:w="70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580" w:type="dxa"/>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90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080" w:type="dxa"/>
            <w:tcBorders/>
            <w:vAlign w:val="bottom"/>
          </w:tcPr>
          <w:p>
            <w:pPr>
              <w:pStyle w:val="Normal"/>
              <w:rPr>
                <w:rFonts w:ascii="Arial" w:hAnsi="Arial" w:eastAsia="Arial Unicode MS" w:cs="Arial"/>
                <w:sz w:val="20"/>
              </w:rPr>
            </w:pPr>
            <w:r>
              <w:rPr>
                <w:rFonts w:eastAsia="Arial" w:cs="Arial" w:ascii="Arial" w:hAnsi="Arial"/>
                <w:sz w:val="20"/>
              </w:rPr>
              <w:t xml:space="preserve"> </w:t>
            </w:r>
            <w:r>
              <w:rPr>
                <w:rFonts w:cs="Arial" w:ascii="Arial" w:hAnsi="Arial"/>
                <w:sz w:val="20"/>
              </w:rPr>
              <w:t xml:space="preserve">10,000.09 </w:t>
            </w:r>
          </w:p>
        </w:tc>
        <w:tc>
          <w:tcPr>
            <w:tcW w:w="92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2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5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bl>
    <w:p>
      <w:pPr>
        <w:pStyle w:val="BodyText"/>
        <w:tabs>
          <w:tab w:val="clear" w:pos="720"/>
          <w:tab w:val="left" w:pos="1440" w:leader="none"/>
        </w:tabs>
        <w:ind w:start="-90" w:end="0"/>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TRANSACTION IS SUBJECT TO BEAR STEARN’S LEGAL,</w:t>
    </w:r>
  </w:p>
  <w:p>
    <w:pPr>
      <w:pStyle w:val="Header"/>
      <w:jc w:val="center"/>
      <w:rPr/>
    </w:pPr>
    <w:r>
      <w:rPr/>
      <w:t>CREDIT AND TRADING DEPARTMENT APPROVALS</w:t>
    </w:r>
  </w:p>
  <w:p>
    <w:pPr>
      <w:pStyle w:val="Footer"/>
      <w:jc w:val="center"/>
      <w:rPr/>
    </w:pPr>
    <w:r>
      <w:rPr/>
    </w:r>
  </w:p>
  <w:p>
    <w:pPr>
      <w:pStyle w:val="Footer"/>
      <w:jc w:val="center"/>
      <w:rPr>
        <w:b/>
      </w:rPr>
    </w:pPr>
    <w:r>
      <w:rPr>
        <w:b/>
      </w:rPr>
      <w:t>Confidential</w:t>
    </w:r>
  </w:p>
  <w:p>
    <w:pPr>
      <w:pStyle w:val="Footer"/>
      <w:jc w:val="center"/>
      <w:rPr/>
    </w:pPr>
    <w:r>
      <w:rPr/>
      <w:t>17 Sep 01</w:t>
    </w:r>
  </w:p>
  <w:p>
    <w:pPr>
      <w:pStyle w:val="Footer"/>
      <w:jc w:val="center"/>
      <w:rPr/>
    </w:pPr>
    <w:r>
      <w:rPr/>
      <w:t xml:space="preserve">Page </w:t>
    </w:r>
    <w:r>
      <w:rPr/>
      <w:fldChar w:fldCharType="begin"/>
    </w:r>
    <w:r>
      <w:rPr/>
      <w:instrText xml:space="preserve"> PAGE </w:instrText>
    </w:r>
    <w:r>
      <w:rPr/>
      <w:fldChar w:fldCharType="separate"/>
    </w:r>
    <w:r>
      <w:rPr/>
      <w:t>6</w:t>
    </w:r>
    <w:r>
      <w:rPr/>
      <w:fldChar w:fldCharType="end"/>
    </w:r>
    <w:r>
      <w:rPr/>
      <w:t xml:space="preserve"> of 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TRANSACTION IS SUBJECT TO BEAR STEARN’S LEGAL,</w:t>
    </w:r>
  </w:p>
  <w:p>
    <w:pPr>
      <w:pStyle w:val="Header"/>
      <w:jc w:val="center"/>
      <w:rPr/>
    </w:pPr>
    <w:r>
      <w:rPr/>
      <w:t>CREDIT AND TRADING DEPARTMENT APPROVALS</w:t>
    </w:r>
  </w:p>
  <w:p>
    <w:pPr>
      <w:pStyle w:val="Footer"/>
      <w:jc w:val="center"/>
      <w:rPr/>
    </w:pPr>
    <w:r>
      <w:rPr/>
    </w:r>
  </w:p>
  <w:p>
    <w:pPr>
      <w:pStyle w:val="Footer"/>
      <w:jc w:val="center"/>
      <w:rPr>
        <w:b/>
      </w:rPr>
    </w:pPr>
    <w:r>
      <w:rPr>
        <w:b/>
      </w:rPr>
      <w:t>Confidential</w:t>
    </w:r>
  </w:p>
  <w:p>
    <w:pPr>
      <w:pStyle w:val="Footer"/>
      <w:jc w:val="center"/>
      <w:rPr/>
    </w:pPr>
    <w:r>
      <w:rPr/>
      <w:t>17 Sep 01</w:t>
    </w:r>
  </w:p>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90" w:end="0"/>
      <w:rPr>
        <w:sz w:val="20"/>
      </w:rPr>
    </w:pPr>
    <w:r>
      <w:rPr>
        <w:sz w:val="20"/>
      </w:rPr>
      <w:drawing>
        <wp:inline distT="0" distB="0" distL="0" distR="0">
          <wp:extent cx="1173480" cy="4749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1" t="-77" r="-31" b="-77"/>
                  <a:stretch>
                    <a:fillRect/>
                  </a:stretch>
                </pic:blipFill>
                <pic:spPr bwMode="auto">
                  <a:xfrm>
                    <a:off x="0" y="0"/>
                    <a:ext cx="1173480" cy="474980"/>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31"/>
        </w:tabs>
        <w:ind w:start="734" w:hanging="331"/>
      </w:pPr>
      <w:rPr>
        <w:rFonts w:ascii="Symbol" w:hAnsi="Symbol" w:cs="Symbol" w:hint="default"/>
        <w:sz w:val="28"/>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pacing w:val="-5"/>
      <w:sz w:val="24"/>
      <w:szCs w:val="20"/>
      <w:lang w:val="en-US" w:bidi="ar-SA" w:eastAsia="zh-CN"/>
    </w:rPr>
  </w:style>
  <w:style w:type="paragraph" w:styleId="Heading1">
    <w:name w:val="heading 1"/>
    <w:basedOn w:val="Normal"/>
    <w:next w:val="Normal"/>
    <w:qFormat/>
    <w:pPr>
      <w:keepNext w:val="true"/>
      <w:numPr>
        <w:ilvl w:val="0"/>
        <w:numId w:val="1"/>
      </w:numPr>
      <w:outlineLvl w:val="0"/>
    </w:pPr>
    <w:rPr>
      <w:b/>
      <w:i/>
    </w:rPr>
  </w:style>
  <w:style w:type="paragraph" w:styleId="Heading2">
    <w:name w:val="heading 2"/>
    <w:basedOn w:val="Normal"/>
    <w:next w:val="Normal"/>
    <w:qFormat/>
    <w:pPr>
      <w:keepNext w:val="true"/>
      <w:numPr>
        <w:ilvl w:val="1"/>
        <w:numId w:val="1"/>
      </w:numPr>
      <w:jc w:val="both"/>
      <w:outlineLvl w:val="1"/>
    </w:pPr>
    <w:rPr>
      <w:u w:val="single"/>
    </w:rPr>
  </w:style>
  <w:style w:type="paragraph" w:styleId="Heading3">
    <w:name w:val="heading 3"/>
    <w:basedOn w:val="Normal"/>
    <w:next w:val="Normal"/>
    <w:qFormat/>
    <w:pPr>
      <w:keepNext w:val="true"/>
      <w:numPr>
        <w:ilvl w:val="2"/>
        <w:numId w:val="1"/>
      </w:numPr>
      <w:outlineLvl w:val="2"/>
    </w:pPr>
    <w:rPr>
      <w:b/>
      <w:bCs/>
      <w:i/>
      <w:iCs/>
      <w:sz w:val="28"/>
    </w:rPr>
  </w:style>
  <w:style w:type="character" w:styleId="WW8NumSt1z0">
    <w:name w:val="WW8NumSt1z0"/>
    <w:qFormat/>
    <w:rPr>
      <w:rFonts w:ascii="Symbol" w:hAnsi="Symbol" w:cs="Symbol"/>
      <w:sz w:val="28"/>
    </w:rPr>
  </w:style>
  <w:style w:type="character" w:styleId="DefaultParagraphFont">
    <w:name w:val="Default Paragraph Font"/>
    <w:qFormat/>
    <w:rPr/>
  </w:style>
  <w:style w:type="character" w:styleId="Choices">
    <w:name w:val="Choices"/>
    <w:basedOn w:val="DefaultParagraphFont"/>
    <w:qFormat/>
    <w:rPr>
      <w:color w:val="FF00FF"/>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32"/>
    </w:rPr>
  </w:style>
  <w:style w:type="paragraph" w:styleId="ConfirmItem">
    <w:name w:val="Confirm Item"/>
    <w:basedOn w:val="Normal"/>
    <w:qFormat/>
    <w:pPr>
      <w:tabs>
        <w:tab w:val="clear" w:pos="720"/>
        <w:tab w:val="left" w:pos="-720" w:leader="none"/>
        <w:tab w:val="left" w:pos="540" w:leader="none"/>
        <w:tab w:val="left" w:pos="1080" w:leader="none"/>
        <w:tab w:val="left" w:pos="3600" w:leader="none"/>
        <w:tab w:val="left" w:pos="4140" w:leader="none"/>
        <w:tab w:val="left" w:pos="5472" w:leader="none"/>
      </w:tabs>
      <w:ind w:hanging="3060" w:start="3600" w:end="-180"/>
    </w:pPr>
    <w:rPr>
      <w:spacing w:val="0"/>
      <w:sz w:val="20"/>
    </w:rPr>
  </w:style>
  <w:style w:type="paragraph" w:styleId="BulletLevel2">
    <w:name w:val="Bullet Level 2"/>
    <w:basedOn w:val="Normal"/>
    <w:qFormat/>
    <w:pPr>
      <w:tabs>
        <w:tab w:val="clear" w:pos="720"/>
        <w:tab w:val="left" w:pos="763" w:leader="none"/>
      </w:tabs>
      <w:ind w:hanging="331" w:start="734"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2001-09-10T16:18:00Z</dcterms:created>
  <dc:creator> </dc:creator>
  <dc:description/>
  <dc:language>en-CA</dc:language>
  <cp:lastModifiedBy>Claude J. Guinchard, II</cp:lastModifiedBy>
  <cp:lastPrinted>2001-09-14T10:33:00Z</cp:lastPrinted>
  <dcterms:modified xsi:type="dcterms:W3CDTF">2001-09-17T18:15:00Z</dcterms:modified>
  <cp:revision>13</cp:revision>
  <dc:subject/>
  <dc:title>Borrower:</dc:title>
</cp:coreProperties>
</file>