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60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1057910</wp:posOffset>
                </wp:positionH>
                <wp:positionV relativeFrom="paragraph">
                  <wp:posOffset>-647065</wp:posOffset>
                </wp:positionV>
                <wp:extent cx="3820160" cy="209359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20935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83080" cy="177165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3" t="-13" r="-13" b="-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08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Ref480190648"/>
                            <w:bookmarkEnd w:id="0"/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InterOffice Memo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0.8pt;height:164.85pt;mso-wrap-distance-left:9pt;mso-wrap-distance-right:9pt;mso-wrap-distance-top:0pt;mso-wrap-distance-bottom:0pt;margin-top:-50.95pt;mso-position-vertical-relative:text;margin-left:83.3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83080" cy="177165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3" t="-13" r="-13" b="-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080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Ref480190648"/>
                      <w:bookmarkEnd w:id="1"/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InterOffice Memo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560"/>
      </w:tblGrid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</w:rPr>
            </w:pPr>
            <w:r>
              <w:rPr>
                <w:b/>
                <w:color w:val="000080"/>
              </w:rPr>
              <w:t>To:</w:t>
            </w:r>
          </w:p>
        </w:tc>
        <w:tc>
          <w:tcPr>
            <w:tcW w:w="7560" w:type="dxa"/>
            <w:tcBorders/>
          </w:tcPr>
          <w:p>
            <w:pPr>
              <w:pStyle w:val="To"/>
              <w:spacing w:before="0" w:after="0"/>
              <w:rPr>
                <w:b/>
                <w:color w:val="000080"/>
              </w:rPr>
            </w:pPr>
            <w:bookmarkStart w:id="2" w:name="To"/>
            <w:bookmarkEnd w:id="2"/>
            <w:r>
              <w:rPr>
                <w:b/>
                <w:color w:val="000080"/>
              </w:rPr>
              <w:t>RTO/ISO Team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</w:rPr>
            </w:pPr>
            <w:r>
              <w:rPr>
                <w:b/>
                <w:color w:val="000080"/>
              </w:rPr>
              <w:t>From:</w:t>
            </w:r>
          </w:p>
        </w:tc>
        <w:tc>
          <w:tcPr>
            <w:tcW w:w="7560" w:type="dxa"/>
            <w:tcBorders/>
          </w:tcPr>
          <w:p>
            <w:pPr>
              <w:pStyle w:val="From"/>
              <w:spacing w:before="0" w:after="0"/>
              <w:rPr>
                <w:b/>
                <w:color w:val="000080"/>
              </w:rPr>
            </w:pPr>
            <w:bookmarkStart w:id="3" w:name="From"/>
            <w:bookmarkEnd w:id="3"/>
            <w:r>
              <w:rPr>
                <w:b/>
                <w:color w:val="000080"/>
              </w:rPr>
              <w:t>A. Ibrahim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</w:rPr>
            </w:pPr>
            <w:r>
              <w:rPr>
                <w:b/>
                <w:color w:val="000080"/>
              </w:rPr>
              <w:t>Date:</w:t>
            </w:r>
          </w:p>
        </w:tc>
        <w:tc>
          <w:tcPr>
            <w:tcW w:w="7560" w:type="dxa"/>
            <w:tcBorders/>
          </w:tcPr>
          <w:p>
            <w:pPr>
              <w:pStyle w:val="Date"/>
              <w:spacing w:before="0" w:after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August 23, 2001</w:t>
            </w:r>
          </w:p>
        </w:tc>
      </w:tr>
      <w:tr>
        <w:trPr/>
        <w:tc>
          <w:tcPr>
            <w:tcW w:w="1188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0" w:after="0"/>
              <w:rPr>
                <w:color w:val="000080"/>
              </w:rPr>
            </w:pPr>
            <w:r>
              <w:rPr>
                <w:b/>
                <w:color w:val="000080"/>
              </w:rPr>
              <w:t>Subject:</w:t>
            </w:r>
          </w:p>
        </w:tc>
        <w:tc>
          <w:tcPr>
            <w:tcW w:w="7560" w:type="dxa"/>
            <w:tcBorders>
              <w:bottom w:val="single" w:sz="18" w:space="0" w:color="000000"/>
            </w:tcBorders>
          </w:tcPr>
          <w:p>
            <w:pPr>
              <w:pStyle w:val="Subject"/>
              <w:spacing w:before="0" w:after="0"/>
              <w:rPr>
                <w:color w:val="000080"/>
              </w:rPr>
            </w:pPr>
            <w:bookmarkStart w:id="4" w:name="Subject"/>
            <w:bookmarkEnd w:id="4"/>
            <w:r>
              <w:rPr>
                <w:b/>
                <w:color w:val="000080"/>
              </w:rPr>
              <w:t>The ISO/RTO Database – Pre Final Draft</w:t>
            </w:r>
          </w:p>
        </w:tc>
      </w:tr>
    </w:tbl>
    <w:p>
      <w:pPr>
        <w:pStyle w:val="Normal"/>
        <w:spacing w:before="0" w:after="0"/>
        <w:rPr>
          <w:color w:val="000080"/>
        </w:rPr>
      </w:pPr>
      <w:r>
        <w:rPr>
          <w:color w:val="000080"/>
        </w:rPr>
      </w:r>
      <w:bookmarkStart w:id="5" w:name="StartOfMemo"/>
      <w:bookmarkStart w:id="6" w:name="StartOfMemo"/>
      <w:bookmarkEnd w:id="6"/>
    </w:p>
    <w:p>
      <w:pPr>
        <w:pStyle w:val="Normal"/>
        <w:spacing w:before="0" w:after="0"/>
        <w:rPr>
          <w:color w:val="000080"/>
        </w:rPr>
      </w:pPr>
      <w:r>
        <w:rPr>
          <w:color w:val="000080"/>
        </w:rPr>
        <w:t xml:space="preserve">Please find below the fourth draft of the headings suggested for the RTO/ISO database.  Please let me know of your opinion in terms of coverage and details.    </w:t>
      </w:r>
    </w:p>
    <w:p>
      <w:pPr>
        <w:pStyle w:val="Normal"/>
        <w:numPr>
          <w:ilvl w:val="0"/>
          <w:numId w:val="2"/>
        </w:numPr>
        <w:spacing w:before="0" w:after="0"/>
        <w:rPr>
          <w:b/>
          <w:bCs/>
          <w:color w:val="000080"/>
        </w:rPr>
      </w:pPr>
      <w:r>
        <w:rPr>
          <w:b/>
          <w:bCs/>
          <w:color w:val="000080"/>
        </w:rPr>
        <w:t>The Transmission Service.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Pertinent Laws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Concessions, Permits, and Licenses. </w:t>
      </w:r>
    </w:p>
    <w:p>
      <w:pPr>
        <w:pStyle w:val="BodyText"/>
        <w:numPr>
          <w:ilvl w:val="1"/>
          <w:numId w:val="2"/>
        </w:numPr>
        <w:rPr>
          <w:color w:val="000080"/>
        </w:rPr>
      </w:pPr>
      <w:r>
        <w:rPr>
          <w:color w:val="000080"/>
        </w:rPr>
        <w:t>Transmission Service Tariff, Terms and Conditions</w:t>
      </w:r>
    </w:p>
    <w:p>
      <w:pPr>
        <w:pStyle w:val="BodyText"/>
        <w:numPr>
          <w:ilvl w:val="2"/>
          <w:numId w:val="2"/>
        </w:numPr>
        <w:rPr>
          <w:color w:val="000080"/>
        </w:rPr>
      </w:pPr>
      <w:r>
        <w:rPr>
          <w:color w:val="000080"/>
        </w:rPr>
        <w:t>Types of services offered</w:t>
      </w:r>
    </w:p>
    <w:p>
      <w:pPr>
        <w:pStyle w:val="BodyText"/>
        <w:numPr>
          <w:ilvl w:val="2"/>
          <w:numId w:val="2"/>
        </w:numPr>
        <w:ind w:hanging="720" w:start="1440" w:end="0"/>
        <w:rPr>
          <w:color w:val="000080"/>
        </w:rPr>
      </w:pPr>
      <w:r>
        <w:rPr>
          <w:color w:val="000080"/>
        </w:rPr>
        <w:t xml:space="preserve">Conversion of existing service to ISO/RTO Tariff </w:t>
      </w:r>
    </w:p>
    <w:p>
      <w:pPr>
        <w:pStyle w:val="BodyText"/>
        <w:numPr>
          <w:ilvl w:val="3"/>
          <w:numId w:val="2"/>
        </w:numPr>
        <w:rPr>
          <w:color w:val="000080"/>
        </w:rPr>
      </w:pPr>
      <w:r>
        <w:rPr>
          <w:color w:val="000080"/>
        </w:rPr>
        <w:t>Treatment of Native Load.</w:t>
      </w:r>
    </w:p>
    <w:p>
      <w:pPr>
        <w:pStyle w:val="BodyText"/>
        <w:numPr>
          <w:ilvl w:val="3"/>
          <w:numId w:val="2"/>
        </w:numPr>
        <w:rPr>
          <w:color w:val="000080"/>
        </w:rPr>
      </w:pPr>
      <w:r>
        <w:rPr>
          <w:color w:val="000080"/>
        </w:rPr>
        <w:t>Grandfathered agreements.</w:t>
      </w:r>
    </w:p>
    <w:p>
      <w:pPr>
        <w:pStyle w:val="BodyText"/>
        <w:numPr>
          <w:ilvl w:val="2"/>
          <w:numId w:val="2"/>
        </w:numPr>
        <w:rPr>
          <w:color w:val="000080"/>
        </w:rPr>
      </w:pPr>
      <w:r>
        <w:rPr>
          <w:color w:val="000080"/>
        </w:rPr>
        <w:t>Access Fees</w:t>
      </w:r>
    </w:p>
    <w:p>
      <w:pPr>
        <w:pStyle w:val="BodyText"/>
        <w:numPr>
          <w:ilvl w:val="3"/>
          <w:numId w:val="2"/>
        </w:numPr>
        <w:rPr>
          <w:color w:val="000080"/>
        </w:rPr>
      </w:pPr>
      <w:r>
        <w:rPr>
          <w:color w:val="000080"/>
        </w:rPr>
        <w:t>Load Based (e.g. License plate type/ single rate/ transition plan to single rate, etc.)</w:t>
      </w:r>
    </w:p>
    <w:p>
      <w:pPr>
        <w:pStyle w:val="BodyText"/>
        <w:numPr>
          <w:ilvl w:val="3"/>
          <w:numId w:val="2"/>
        </w:numPr>
        <w:rPr>
          <w:color w:val="000080"/>
        </w:rPr>
      </w:pPr>
      <w:r>
        <w:rPr>
          <w:color w:val="000080"/>
        </w:rPr>
        <w:t>Export Fees at Interconnections</w:t>
      </w:r>
    </w:p>
    <w:p>
      <w:pPr>
        <w:pStyle w:val="BodyText"/>
        <w:numPr>
          <w:ilvl w:val="2"/>
          <w:numId w:val="2"/>
        </w:numPr>
        <w:rPr>
          <w:color w:val="000080"/>
        </w:rPr>
      </w:pPr>
      <w:r>
        <w:rPr>
          <w:color w:val="000080"/>
        </w:rPr>
        <w:t>Definition of transmission rights</w:t>
      </w:r>
    </w:p>
    <w:p>
      <w:pPr>
        <w:pStyle w:val="BodyText"/>
        <w:numPr>
          <w:ilvl w:val="2"/>
          <w:numId w:val="2"/>
        </w:numPr>
        <w:rPr>
          <w:color w:val="000080"/>
        </w:rPr>
      </w:pPr>
      <w:r>
        <w:rPr>
          <w:color w:val="000080"/>
        </w:rPr>
        <w:t>Open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Rate Cases and Price Adjustment Mechanisms.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Rules of Capacity Allocation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Congestion management. 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Transmission right allocation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Auction procedures and timing.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Treatment of congestion rights. 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OASIS, TTC/ATC: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Structure of Oasis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TTC/ATC Calculation methodology:</w:t>
      </w:r>
    </w:p>
    <w:p>
      <w:pPr>
        <w:pStyle w:val="Normal"/>
        <w:numPr>
          <w:ilvl w:val="3"/>
          <w:numId w:val="2"/>
        </w:numPr>
        <w:spacing w:before="0" w:after="0"/>
        <w:rPr>
          <w:color w:val="000080"/>
        </w:rPr>
      </w:pPr>
      <w:r>
        <w:rPr>
          <w:color w:val="000080"/>
        </w:rPr>
        <w:t>TTC</w:t>
      </w:r>
    </w:p>
    <w:p>
      <w:pPr>
        <w:pStyle w:val="Normal"/>
        <w:numPr>
          <w:ilvl w:val="3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ATC .   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What are the rules of system expansion and reinforcement?  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Ancillary Services – See </w:t>
      </w:r>
      <w:r>
        <w:rPr>
          <w:color w:val="000080"/>
        </w:rPr>
        <w:fldChar w:fldCharType="begin"/>
      </w:r>
      <w:r>
        <w:rPr>
          <w:color w:val="000080"/>
        </w:rPr>
        <w:instrText xml:space="preserve"> REF _Ref523216097 \r \r \h </w:instrText>
      </w:r>
      <w:r>
        <w:rPr>
          <w:color w:val="000080"/>
        </w:rPr>
        <w:fldChar w:fldCharType="separate"/>
      </w:r>
      <w:r>
        <w:rPr>
          <w:color w:val="000080"/>
        </w:rPr>
        <w:t>2.8</w:t>
      </w:r>
      <w:r>
        <w:rPr>
          <w:color w:val="000080"/>
        </w:rPr>
        <w:fldChar w:fldCharType="end"/>
      </w:r>
    </w:p>
    <w:p>
      <w:pPr>
        <w:pStyle w:val="Normal"/>
        <w:spacing w:before="0" w:after="0"/>
        <w:ind w:start="360" w:end="0"/>
        <w:rPr>
          <w:color w:val="000080"/>
        </w:rPr>
      </w:pPr>
      <w:r>
        <w:rPr>
          <w:color w:val="000080"/>
        </w:rPr>
      </w:r>
    </w:p>
    <w:p>
      <w:pPr>
        <w:pStyle w:val="Normal"/>
        <w:numPr>
          <w:ilvl w:val="0"/>
          <w:numId w:val="2"/>
        </w:numPr>
        <w:spacing w:before="0" w:after="0"/>
        <w:rPr>
          <w:b/>
          <w:bCs/>
          <w:color w:val="000080"/>
        </w:rPr>
      </w:pPr>
      <w:bookmarkStart w:id="7" w:name="_Ref480190705"/>
      <w:r>
        <w:rPr>
          <w:b/>
          <w:bCs/>
          <w:color w:val="000080"/>
        </w:rPr>
        <w:t>The ISO/RTO</w:t>
      </w:r>
      <w:bookmarkEnd w:id="7"/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The Role of the ISO/RTO.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Corporate Structure of the ISO/RTO. 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Board Structure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Membership and voting rights.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Definitions of the Market participants: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bookmarkStart w:id="8" w:name="_Ref445455244"/>
      <w:r>
        <w:rPr>
          <w:color w:val="000080"/>
        </w:rPr>
        <w:t>Guarantees of Participation.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bookmarkStart w:id="9" w:name="_Ref445455244"/>
      <w:r>
        <w:rPr>
          <w:color w:val="000080"/>
        </w:rPr>
        <w:t xml:space="preserve">Rights and Obligations of the </w:t>
      </w:r>
      <w:bookmarkEnd w:id="9"/>
      <w:r>
        <w:rPr>
          <w:color w:val="000080"/>
        </w:rPr>
        <w:t xml:space="preserve">Market Participants. 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bookmarkStart w:id="10" w:name="_Ref445790882"/>
      <w:r>
        <w:rPr>
          <w:color w:val="000080"/>
        </w:rPr>
        <w:t>Obligations:</w:t>
      </w:r>
      <w:bookmarkEnd w:id="10"/>
    </w:p>
    <w:p>
      <w:pPr>
        <w:pStyle w:val="BodyText"/>
        <w:numPr>
          <w:ilvl w:val="2"/>
          <w:numId w:val="2"/>
        </w:numPr>
        <w:rPr>
          <w:color w:val="000080"/>
        </w:rPr>
      </w:pPr>
      <w:r>
        <w:rPr>
          <w:color w:val="000080"/>
        </w:rPr>
        <w:t>Rights: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Products of the ISO/RTO: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Energy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Capacity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Reserve. 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bookmarkStart w:id="11" w:name="_Ref445863283"/>
      <w:r>
        <w:rPr>
          <w:color w:val="000080"/>
        </w:rPr>
        <w:t>Ancillary Services</w:t>
      </w:r>
      <w:bookmarkEnd w:id="11"/>
      <w:r>
        <w:rPr>
          <w:color w:val="000080"/>
        </w:rPr>
        <w:t xml:space="preserve"> – See </w:t>
      </w:r>
      <w:r>
        <w:rPr>
          <w:color w:val="000080"/>
        </w:rPr>
        <w:fldChar w:fldCharType="begin"/>
      </w:r>
      <w:r>
        <w:rPr>
          <w:color w:val="000080"/>
        </w:rPr>
        <w:instrText xml:space="preserve"> REF _Ref523216097 \r \r \h </w:instrText>
      </w:r>
      <w:r>
        <w:rPr>
          <w:color w:val="000080"/>
        </w:rPr>
        <w:fldChar w:fldCharType="separate"/>
      </w:r>
      <w:r>
        <w:rPr>
          <w:color w:val="000080"/>
        </w:rPr>
        <w:t>2.8</w:t>
      </w:r>
      <w:r>
        <w:rPr>
          <w:color w:val="000080"/>
        </w:rPr>
        <w:fldChar w:fldCharType="end"/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Rules of Dispatch and Operation Coordination</w:t>
      </w:r>
      <w:bookmarkStart w:id="12" w:name="_Ref445784771"/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Long Term Operations</w:t>
      </w:r>
    </w:p>
    <w:p>
      <w:pPr>
        <w:pStyle w:val="Normal"/>
        <w:numPr>
          <w:ilvl w:val="3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Rights Releases/Auctions. </w:t>
      </w:r>
      <w:bookmarkEnd w:id="12"/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Monthly/Weekly Operations 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Rights Releases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Unit Commitment: 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Day-Ahead Process. 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Scheduling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Unit Commitment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Real Time Operation. (Including security analysis)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Post-Dispatch Settlements.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bookmarkStart w:id="13" w:name="_Ref523216097"/>
      <w:r>
        <w:rPr>
          <w:color w:val="000080"/>
        </w:rPr>
        <w:t>Ancillary Services</w:t>
      </w:r>
      <w:bookmarkEnd w:id="13"/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What are the Ancillary Services Offered: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Losses: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Nomination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Service One: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Nomination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Service Two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Nomination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Service Three: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Nomination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Service Four: 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Nomination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Service Five: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Nomination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Service Six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Definition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Nomination </w:t>
      </w:r>
    </w:p>
    <w:p>
      <w:pPr>
        <w:pStyle w:val="Normal"/>
        <w:numPr>
          <w:ilvl w:val="4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Remuneration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Open: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Open: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Treatment of Bilateral Transactions.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Nomination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Settlement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Order of Curtailment and Emergency Procedures.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Cost of Rationing. 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Account Settlement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Market Monitoring (by Whom, state agency, ISO committee, independent third party?)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How is monitoring performed: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Transmission service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>Ancillary services</w:t>
      </w:r>
    </w:p>
    <w:p>
      <w:pPr>
        <w:pStyle w:val="Normal"/>
        <w:numPr>
          <w:ilvl w:val="3"/>
          <w:numId w:val="2"/>
        </w:numPr>
        <w:spacing w:before="0" w:after="0"/>
        <w:jc w:val="both"/>
        <w:rPr>
          <w:color w:val="000080"/>
        </w:rPr>
      </w:pPr>
      <w:r>
        <w:rPr>
          <w:color w:val="000080"/>
        </w:rPr>
        <w:t xml:space="preserve">What are the issued reports, if any? 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 xml:space="preserve">Conflict Resolution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Course of Appeal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Cost of the Administrator.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Open</w:t>
      </w:r>
    </w:p>
    <w:p>
      <w:pPr>
        <w:pStyle w:val="Normal"/>
        <w:spacing w:before="0" w:after="0"/>
        <w:ind w:start="360" w:end="0"/>
        <w:rPr>
          <w:color w:val="000080"/>
        </w:rPr>
      </w:pPr>
      <w:r>
        <w:rPr>
          <w:color w:val="000080"/>
        </w:rPr>
      </w:r>
    </w:p>
    <w:p>
      <w:pPr>
        <w:pStyle w:val="Normal"/>
        <w:numPr>
          <w:ilvl w:val="0"/>
          <w:numId w:val="2"/>
        </w:numPr>
        <w:spacing w:before="0" w:after="0"/>
        <w:rPr>
          <w:b/>
          <w:bCs/>
          <w:color w:val="000080"/>
          <w:u w:val="single"/>
        </w:rPr>
      </w:pPr>
      <w:r>
        <w:rPr>
          <w:b/>
          <w:bCs/>
          <w:color w:val="000080"/>
          <w:u w:val="single"/>
        </w:rPr>
        <w:t>Interregional Transactions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Rules of coordinating with other ISO’s: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Scheduling processes (synchronization of timing for market/auctions)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Loop-flow coordination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Inter-regional de-pancaking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Rules of allocating capacities on the interties.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</w:rPr>
      </w:pPr>
      <w:r>
        <w:rPr>
          <w:color w:val="000080"/>
        </w:rPr>
        <w:t>Technical Characteristics of Regional Transactions.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What is the treatment of the transactions in system emergencies (order of curtailment and emergency producers)?</w:t>
      </w:r>
    </w:p>
    <w:p>
      <w:pPr>
        <w:pStyle w:val="Normal"/>
        <w:numPr>
          <w:ilvl w:val="2"/>
          <w:numId w:val="2"/>
        </w:numPr>
        <w:spacing w:before="0" w:after="0"/>
        <w:rPr>
          <w:color w:val="000080"/>
        </w:rPr>
      </w:pPr>
      <w:r>
        <w:rPr>
          <w:color w:val="000080"/>
        </w:rPr>
        <w:t>How ancillary services are determined for interregional transaction?</w:t>
      </w:r>
    </w:p>
    <w:p>
      <w:pPr>
        <w:pStyle w:val="Normal"/>
        <w:spacing w:before="0" w:after="0"/>
        <w:rPr>
          <w:color w:val="000080"/>
        </w:rPr>
      </w:pPr>
      <w:r>
        <w:rPr>
          <w:color w:val="000080"/>
        </w:rPr>
      </w:r>
    </w:p>
    <w:p>
      <w:pPr>
        <w:pStyle w:val="Normal"/>
        <w:spacing w:before="0" w:after="0"/>
        <w:rPr>
          <w:color w:val="000080"/>
        </w:rPr>
      </w:pPr>
      <w:r>
        <w:rPr>
          <w:color w:val="000080"/>
        </w:rPr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4"/>
        </w:rPr>
      </w:pPr>
      <w:r>
        <w:rPr>
          <w:color w:val="000080"/>
        </w:rPr>
        <w:t xml:space="preserve">Open. 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720" w:top="900" w:footer="72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ind w:end="360"/>
      <w:rPr>
        <w:sz w:val="18"/>
      </w:rPr>
    </w:pPr>
    <w:r>
      <w:rPr>
        <w:sz w:val="18"/>
      </w:rPr>
      <w:t>April 11, 2000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8478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847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4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jc w:val="center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start="810" w:end="0"/>
      <w:jc w:val="center"/>
      <w:outlineLvl w:val="6"/>
    </w:pPr>
    <w:rPr>
      <w:b/>
      <w:color w:val="000000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6z0">
    <w:name w:val="WW8Num66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/>
  </w:style>
  <w:style w:type="character" w:styleId="WW8Num94z0">
    <w:name w:val="WW8Num94z0"/>
    <w:qFormat/>
    <w:rPr/>
  </w:style>
  <w:style w:type="character" w:styleId="WW8Num95z0">
    <w:name w:val="WW8Num95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100z0">
    <w:name w:val="WW8Num100z0"/>
    <w:qFormat/>
    <w:rPr/>
  </w:style>
  <w:style w:type="character" w:styleId="WW8Num101z0">
    <w:name w:val="WW8Num101z0"/>
    <w:qFormat/>
    <w:rPr/>
  </w:style>
  <w:style w:type="character" w:styleId="WW8Num103z0">
    <w:name w:val="WW8Num103z0"/>
    <w:qFormat/>
    <w:rPr/>
  </w:style>
  <w:style w:type="character" w:styleId="WW8Num104z0">
    <w:name w:val="WW8Num104z0"/>
    <w:qFormat/>
    <w:rPr/>
  </w:style>
  <w:style w:type="character" w:styleId="WW8Num106z0">
    <w:name w:val="WW8Num106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/>
  </w:style>
  <w:style w:type="character" w:styleId="WW8Num110z0">
    <w:name w:val="WW8Num110z0"/>
    <w:qFormat/>
    <w:rPr/>
  </w:style>
  <w:style w:type="character" w:styleId="WW8Num111z0">
    <w:name w:val="WW8Num111z0"/>
    <w:qFormat/>
    <w:rPr/>
  </w:style>
  <w:style w:type="character" w:styleId="WW8Num113z0">
    <w:name w:val="WW8Num113z0"/>
    <w:qFormat/>
    <w:rPr/>
  </w:style>
  <w:style w:type="character" w:styleId="WW8Num114z0">
    <w:name w:val="WW8Num114z0"/>
    <w:qFormat/>
    <w:rPr/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/>
  </w:style>
  <w:style w:type="character" w:styleId="WW8Num118z0">
    <w:name w:val="WW8Num118z0"/>
    <w:qFormat/>
    <w:rPr/>
  </w:style>
  <w:style w:type="character" w:styleId="WW8Num119z0">
    <w:name w:val="WW8Num119z0"/>
    <w:qFormat/>
    <w:rPr/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/>
  </w:style>
  <w:style w:type="character" w:styleId="WW8Num122z0">
    <w:name w:val="WW8Num122z0"/>
    <w:qFormat/>
    <w:rPr/>
  </w:style>
  <w:style w:type="character" w:styleId="WW8Num123z0">
    <w:name w:val="WW8Num123z0"/>
    <w:qFormat/>
    <w:rPr/>
  </w:style>
  <w:style w:type="character" w:styleId="WW8Num124z0">
    <w:name w:val="WW8Num124z0"/>
    <w:qFormat/>
    <w:rPr/>
  </w:style>
  <w:style w:type="character" w:styleId="WW8Num125z0">
    <w:name w:val="WW8Num125z0"/>
    <w:qFormat/>
    <w:rPr/>
  </w:style>
  <w:style w:type="character" w:styleId="WW8Num126z0">
    <w:name w:val="WW8Num126z0"/>
    <w:qFormat/>
    <w:rPr/>
  </w:style>
  <w:style w:type="character" w:styleId="WW8Num127z0">
    <w:name w:val="WW8Num127z0"/>
    <w:qFormat/>
    <w:rPr/>
  </w:style>
  <w:style w:type="character" w:styleId="WW8Num128z0">
    <w:name w:val="WW8Num128z0"/>
    <w:qFormat/>
    <w:rPr/>
  </w:style>
  <w:style w:type="character" w:styleId="WW8Num129z0">
    <w:name w:val="WW8Num129z0"/>
    <w:qFormat/>
    <w:rPr/>
  </w:style>
  <w:style w:type="character" w:styleId="WW8Num130z0">
    <w:name w:val="WW8Num130z0"/>
    <w:qFormat/>
    <w:rPr/>
  </w:style>
  <w:style w:type="character" w:styleId="WW8Num132z0">
    <w:name w:val="WW8Num132z0"/>
    <w:qFormat/>
    <w:rPr/>
  </w:style>
  <w:style w:type="character" w:styleId="WW8Num133z0">
    <w:name w:val="WW8Num133z0"/>
    <w:qFormat/>
    <w:rPr/>
  </w:style>
  <w:style w:type="character" w:styleId="WW8Num134z0">
    <w:name w:val="WW8Num134z0"/>
    <w:qFormat/>
    <w:rPr/>
  </w:style>
  <w:style w:type="character" w:styleId="WW8Num135z0">
    <w:name w:val="WW8Num135z0"/>
    <w:qFormat/>
    <w:rPr/>
  </w:style>
  <w:style w:type="character" w:styleId="WW8Num136z0">
    <w:name w:val="WW8Num136z0"/>
    <w:qFormat/>
    <w:rPr/>
  </w:style>
  <w:style w:type="character" w:styleId="WW8Num137z0">
    <w:name w:val="WW8Num137z0"/>
    <w:qFormat/>
    <w:rPr/>
  </w:style>
  <w:style w:type="character" w:styleId="WW8Num138z0">
    <w:name w:val="WW8Num138z0"/>
    <w:qFormat/>
    <w:rPr/>
  </w:style>
  <w:style w:type="character" w:styleId="WW8Num139z0">
    <w:name w:val="WW8Num139z0"/>
    <w:qFormat/>
    <w:rPr/>
  </w:style>
  <w:style w:type="character" w:styleId="WW8Num142z0">
    <w:name w:val="WW8Num142z0"/>
    <w:qFormat/>
    <w:rPr/>
  </w:style>
  <w:style w:type="character" w:styleId="WW8Num143z0">
    <w:name w:val="WW8Num143z0"/>
    <w:qFormat/>
    <w:rPr/>
  </w:style>
  <w:style w:type="character" w:styleId="WW8Num144z0">
    <w:name w:val="WW8Num144z0"/>
    <w:qFormat/>
    <w:rPr/>
  </w:style>
  <w:style w:type="character" w:styleId="WW8Num145z0">
    <w:name w:val="WW8Num145z0"/>
    <w:qFormat/>
    <w:rPr/>
  </w:style>
  <w:style w:type="character" w:styleId="WW8Num146z0">
    <w:name w:val="WW8Num146z0"/>
    <w:qFormat/>
    <w:rPr/>
  </w:style>
  <w:style w:type="character" w:styleId="WW8Num147z0">
    <w:name w:val="WW8Num147z0"/>
    <w:qFormat/>
    <w:rPr/>
  </w:style>
  <w:style w:type="character" w:styleId="WW8Num148z0">
    <w:name w:val="WW8Num148z0"/>
    <w:qFormat/>
    <w:rPr/>
  </w:style>
  <w:style w:type="character" w:styleId="WW8Num149z0">
    <w:name w:val="WW8Num149z0"/>
    <w:qFormat/>
    <w:rPr/>
  </w:style>
  <w:style w:type="character" w:styleId="WW8Num150z0">
    <w:name w:val="WW8Num150z0"/>
    <w:qFormat/>
    <w:rPr/>
  </w:style>
  <w:style w:type="character" w:styleId="WW8Num152z0">
    <w:name w:val="WW8Num152z0"/>
    <w:qFormat/>
    <w:rPr/>
  </w:style>
  <w:style w:type="character" w:styleId="WW8Num153z0">
    <w:name w:val="WW8Num153z0"/>
    <w:qFormat/>
    <w:rPr/>
  </w:style>
  <w:style w:type="character" w:styleId="WW8Num156z0">
    <w:name w:val="WW8Num156z0"/>
    <w:qFormat/>
    <w:rPr/>
  </w:style>
  <w:style w:type="character" w:styleId="WW8Num158z0">
    <w:name w:val="WW8Num158z0"/>
    <w:qFormat/>
    <w:rPr/>
  </w:style>
  <w:style w:type="character" w:styleId="WW8Num159z0">
    <w:name w:val="WW8Num159z0"/>
    <w:qFormat/>
    <w:rPr/>
  </w:style>
  <w:style w:type="character" w:styleId="WW8Num160z0">
    <w:name w:val="WW8Num160z0"/>
    <w:qFormat/>
    <w:rPr/>
  </w:style>
  <w:style w:type="character" w:styleId="WW8Num161z0">
    <w:name w:val="WW8Num161z0"/>
    <w:qFormat/>
    <w:rPr/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/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/>
  </w:style>
  <w:style w:type="character" w:styleId="WW8Num167z0">
    <w:name w:val="WW8Num167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>
      <w:spacing w:before="0" w:after="0"/>
      <w:jc w:val="both"/>
    </w:pPr>
    <w:rPr/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  <w:tab w:val="right" w:pos="9000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spacing w:before="360" w:after="0"/>
      <w:ind w:hanging="504" w:start="504" w:end="0"/>
    </w:pPr>
    <w:rPr/>
  </w:style>
  <w:style w:type="paragraph" w:styleId="BodyTextIndent">
    <w:name w:val="Body Text Indent"/>
    <w:basedOn w:val="Normal"/>
    <w:pPr>
      <w:spacing w:before="0" w:after="0"/>
      <w:ind w:hanging="0" w:start="81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-720" w:leader="none"/>
      </w:tabs>
      <w:suppressAutoHyphens w:val="true"/>
      <w:ind w:hanging="0" w:start="720" w:end="0"/>
      <w:jc w:val="both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-720" w:leader="none"/>
      </w:tabs>
      <w:suppressAutoHyphens w:val="true"/>
      <w:ind w:hanging="0" w:start="990" w:end="0"/>
      <w:jc w:val="both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spacing w:before="0" w:after="0"/>
    </w:pPr>
    <w:rPr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EIMEMO.DOT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2001-08-28T23:23:00Z</dcterms:created>
  <dc:creator>EDC</dc:creator>
  <dc:description/>
  <dc:language>en-CA</dc:language>
  <cp:lastModifiedBy>aibrahi</cp:lastModifiedBy>
  <cp:lastPrinted>2001-08-29T09:41:00Z</cp:lastPrinted>
  <dcterms:modified xsi:type="dcterms:W3CDTF">2001-08-29T12:33:00Z</dcterms:modified>
  <cp:revision>9</cp:revision>
  <dc:subject/>
  <dc:title>Enron International Memo</dc:title>
</cp:coreProperties>
</file>