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Basic Structure Of Deal  (NONBINDING PROPOSAL)</w:t>
      </w:r>
    </w:p>
    <w:p>
      <w:pPr>
        <w:pStyle w:val="Normal"/>
        <w:rPr/>
      </w:pPr>
      <w:r>
        <w:rPr/>
      </w:r>
    </w:p>
    <w:p>
      <w:pPr>
        <w:pStyle w:val="Normal"/>
        <w:rPr/>
      </w:pPr>
      <w:r>
        <w:rPr/>
      </w:r>
    </w:p>
    <w:p>
      <w:pPr>
        <w:pStyle w:val="Heading2"/>
        <w:ind w:hanging="0" w:start="0"/>
        <w:rPr/>
      </w:pPr>
      <w:r>
        <w:rPr/>
        <w:t>Fixed Price Sale</w:t>
      </w:r>
    </w:p>
    <w:p>
      <w:pPr>
        <w:pStyle w:val="Normal"/>
        <w:rPr/>
      </w:pPr>
      <w:r>
        <w:rPr/>
        <w:t>ENA would sell fixed price gas to NUI at the following locations and daily quantities:</w:t>
      </w:r>
    </w:p>
    <w:p>
      <w:pPr>
        <w:pStyle w:val="Normal"/>
        <w:rPr/>
      </w:pPr>
      <w:r>
        <w:rPr/>
      </w:r>
    </w:p>
    <w:p>
      <w:pPr>
        <w:pStyle w:val="Normal"/>
        <w:rPr/>
      </w:pPr>
      <w:r>
        <w:rPr/>
        <w:tab/>
        <w:t xml:space="preserve">Transco Z3 </w:t>
        <w:tab/>
        <w:t>30,000 dth/day for April 1,2001 through October 31, 2001</w:t>
      </w:r>
    </w:p>
    <w:p>
      <w:pPr>
        <w:pStyle w:val="Normal"/>
        <w:rPr/>
      </w:pPr>
      <w:r>
        <w:rPr/>
      </w:r>
    </w:p>
    <w:p>
      <w:pPr>
        <w:pStyle w:val="Normal"/>
        <w:rPr/>
      </w:pPr>
      <w:r>
        <w:rPr/>
        <w:tab/>
        <w:t>Tetco ELA</w:t>
        <w:tab/>
        <w:t>10,000 dth/day for April 1,2001 through October 31, 2001</w:t>
      </w:r>
    </w:p>
    <w:p>
      <w:pPr>
        <w:pStyle w:val="Normal"/>
        <w:rPr/>
      </w:pPr>
      <w:r>
        <w:rPr/>
      </w:r>
    </w:p>
    <w:p>
      <w:pPr>
        <w:pStyle w:val="Normal"/>
        <w:rPr/>
      </w:pPr>
      <w:r>
        <w:rPr/>
        <w:t>Payment for this gas would be deferred to the winter period and would consist of 5 equal payments due December 25</w:t>
      </w:r>
      <w:r>
        <w:rPr>
          <w:vertAlign w:val="superscript"/>
        </w:rPr>
        <w:t>th</w:t>
      </w:r>
      <w:r>
        <w:rPr/>
        <w:t>, January 25</w:t>
      </w:r>
      <w:r>
        <w:rPr>
          <w:vertAlign w:val="superscript"/>
        </w:rPr>
        <w:t>th</w:t>
      </w:r>
      <w:r>
        <w:rPr/>
        <w:t>, February 25</w:t>
      </w:r>
      <w:r>
        <w:rPr>
          <w:vertAlign w:val="superscript"/>
        </w:rPr>
        <w:t>th</w:t>
      </w:r>
      <w:r>
        <w:rPr/>
        <w:t>, March 25</w:t>
      </w:r>
      <w:r>
        <w:rPr>
          <w:vertAlign w:val="superscript"/>
        </w:rPr>
        <w:t>th</w:t>
      </w:r>
      <w:r>
        <w:rPr/>
        <w:t>, and April 25</w:t>
      </w:r>
      <w:r>
        <w:rPr>
          <w:vertAlign w:val="superscript"/>
        </w:rPr>
        <w:t>th</w:t>
      </w:r>
      <w:r>
        <w:rPr/>
        <w:t xml:space="preserve"> in the amount of $9,958,461 each payment.</w:t>
      </w:r>
    </w:p>
    <w:p>
      <w:pPr>
        <w:pStyle w:val="Normal"/>
        <w:rPr/>
      </w:pPr>
      <w:r>
        <w:rPr/>
      </w:r>
    </w:p>
    <w:p>
      <w:pPr>
        <w:pStyle w:val="Normal"/>
        <w:rPr/>
      </w:pPr>
      <w:r>
        <w:rPr/>
      </w:r>
    </w:p>
    <w:p>
      <w:pPr>
        <w:pStyle w:val="Heading2"/>
        <w:ind w:hanging="0" w:start="0"/>
        <w:rPr/>
      </w:pPr>
      <w:r>
        <w:rPr/>
        <w:t>Financial Fixed for Float Swap</w:t>
      </w:r>
    </w:p>
    <w:p>
      <w:pPr>
        <w:pStyle w:val="Normal"/>
        <w:rPr/>
      </w:pPr>
      <w:r>
        <w:rPr/>
        <w:t>Concurrent with the deal above, NUI would enter into two fixed for floating swaps with ENA at the following locations and prices.  ENA would pay the fixed price, NUI would pay the floating index price (Inside FERC FOM) for the location.</w:t>
      </w:r>
    </w:p>
    <w:p>
      <w:pPr>
        <w:pStyle w:val="Normal"/>
        <w:rPr/>
      </w:pPr>
      <w:r>
        <w:rPr/>
      </w:r>
    </w:p>
    <w:p>
      <w:pPr>
        <w:pStyle w:val="Heading2"/>
        <w:ind w:hanging="0" w:start="0"/>
        <w:rPr/>
      </w:pPr>
      <w:r>
        <w:rPr/>
        <w:t>Transco Zone 3</w:t>
      </w:r>
    </w:p>
    <w:p>
      <w:pPr>
        <w:pStyle w:val="Heading1"/>
        <w:ind w:hanging="0" w:start="0"/>
        <w:rPr/>
      </w:pPr>
      <w:r>
        <w:rPr/>
        <w:t>Month</w:t>
        <w:tab/>
        <w:tab/>
        <w:t>Daily Quantity</w:t>
        <w:tab/>
        <w:t>Fixed Price</w:t>
        <w:tab/>
        <w:tab/>
        <w:t>Index Price</w:t>
      </w:r>
    </w:p>
    <w:p>
      <w:pPr>
        <w:pStyle w:val="Normal"/>
        <w:rPr/>
      </w:pPr>
      <w:r>
        <w:rPr/>
        <w:t>April 2001</w:t>
        <w:tab/>
        <w:t>30,000 dth/day</w:t>
        <w:tab/>
        <w:tab/>
        <w:t>$5.555</w:t>
        <w:tab/>
        <w:tab/>
        <w:tab/>
        <w:t>IF FOM for Transco Zone 3</w:t>
      </w:r>
    </w:p>
    <w:p>
      <w:pPr>
        <w:pStyle w:val="Normal"/>
        <w:rPr/>
      </w:pPr>
      <w:r>
        <w:rPr/>
        <w:t>- October 2001</w:t>
      </w:r>
    </w:p>
    <w:p>
      <w:pPr>
        <w:pStyle w:val="Normal"/>
        <w:rPr/>
      </w:pPr>
      <w:r>
        <w:rPr/>
      </w:r>
    </w:p>
    <w:p>
      <w:pPr>
        <w:pStyle w:val="Heading2"/>
        <w:ind w:hanging="0" w:start="0"/>
        <w:rPr/>
      </w:pPr>
      <w:r>
        <w:rPr/>
        <w:t>Tetco ELA</w:t>
      </w:r>
    </w:p>
    <w:p>
      <w:pPr>
        <w:pStyle w:val="Heading1"/>
        <w:ind w:hanging="0" w:start="0"/>
        <w:rPr/>
      </w:pPr>
      <w:r>
        <w:rPr/>
        <w:t>Month</w:t>
        <w:tab/>
        <w:tab/>
        <w:t>Daily Quantity</w:t>
        <w:tab/>
        <w:t>Fixed Price</w:t>
        <w:tab/>
        <w:tab/>
        <w:t>Index Price</w:t>
      </w:r>
    </w:p>
    <w:p>
      <w:pPr>
        <w:pStyle w:val="Normal"/>
        <w:rPr/>
      </w:pPr>
      <w:r>
        <w:rPr/>
        <w:t>April 2001</w:t>
        <w:tab/>
        <w:t>10,000 dth/day</w:t>
        <w:tab/>
        <w:tab/>
        <w:t>$5.452</w:t>
        <w:tab/>
        <w:tab/>
        <w:tab/>
        <w:t>IF FOM for Tetco ELA</w:t>
      </w:r>
    </w:p>
    <w:p>
      <w:pPr>
        <w:pStyle w:val="Normal"/>
        <w:rPr/>
      </w:pPr>
      <w:r>
        <w:rPr/>
        <w:t>- October 2001</w:t>
      </w:r>
    </w:p>
    <w:p>
      <w:pPr>
        <w:pStyle w:val="Normal"/>
        <w:rPr/>
      </w:pPr>
      <w:r>
        <w:rPr/>
      </w:r>
    </w:p>
    <w:p>
      <w:pPr>
        <w:pStyle w:val="Heading2"/>
        <w:ind w:hanging="0" w:start="0"/>
        <w:rPr>
          <w:bCs/>
          <w:iCs/>
        </w:rPr>
      </w:pPr>
      <w:r>
        <w:rPr>
          <w:bCs/>
          <w:iCs/>
        </w:rPr>
        <w:t>Contract Issues</w:t>
      </w:r>
    </w:p>
    <w:p>
      <w:pPr>
        <w:pStyle w:val="Normal"/>
        <w:rPr/>
      </w:pPr>
      <w:r>
        <w:rPr/>
        <w:t xml:space="preserve">ENA and NUI need to enter into a firm purchase and sale agreement and an ISDA.  In addition, ENA requires a Corporate Guaranty from Elizabethtown’s parent NUI Corp.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2001-03-28T18:04:00Z</dcterms:created>
  <dc:creator>mbreese</dc:creator>
  <dc:description/>
  <dc:language>en-CA</dc:language>
  <cp:lastModifiedBy>mbreese</cp:lastModifiedBy>
  <cp:lastPrinted>2001-03-29T08:43:00Z</cp:lastPrinted>
  <dcterms:modified xsi:type="dcterms:W3CDTF">2001-03-29T12:25:00Z</dcterms:modified>
  <cp:revision>5</cp:revision>
  <dc:subject/>
  <dc:title>Basic Structure Of Deal</dc:title>
</cp:coreProperties>
</file>