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iCs/>
          <w:u w:val="single"/>
        </w:rPr>
      </w:pPr>
      <w:r>
        <w:rPr>
          <w:i/>
          <w:iCs/>
          <w:u w:val="single"/>
        </w:rPr>
        <w:t xml:space="preserve">SDG&amp;E  </w:t>
      </w:r>
    </w:p>
    <w:p>
      <w:pPr>
        <w:pStyle w:val="Normal"/>
        <w:rPr>
          <w:b/>
          <w:bCs/>
          <w:i/>
          <w:i/>
          <w:iCs/>
          <w:u w:val="single"/>
        </w:rPr>
      </w:pPr>
      <w:r>
        <w:rPr>
          <w:b/>
          <w:bCs/>
          <w:i/>
          <w:iCs/>
          <w:u w:val="single"/>
        </w:rPr>
      </w:r>
    </w:p>
    <w:p>
      <w:pPr>
        <w:pStyle w:val="Normal"/>
        <w:jc w:val="both"/>
        <w:rPr/>
      </w:pPr>
      <w:r>
        <w:rPr>
          <w:b/>
          <w:bCs/>
        </w:rPr>
        <w:t xml:space="preserve">Baseline:  </w:t>
      </w:r>
      <w:r>
        <w:rPr/>
        <w:t>Normal Usage…means the anticipated Energy usage in (kWh) at all Facilities during each Contract Year which shall be equal to the actual amount of Energy (in kWh) used at all Facilities during the 12 months preceding the Effective Date.</w:t>
      </w:r>
    </w:p>
    <w:p>
      <w:pPr>
        <w:pStyle w:val="Normal"/>
        <w:jc w:val="both"/>
        <w:rPr/>
      </w:pPr>
      <w:r>
        <w:rPr/>
      </w:r>
    </w:p>
    <w:p>
      <w:pPr>
        <w:pStyle w:val="Normal"/>
        <w:jc w:val="both"/>
        <w:rPr/>
      </w:pPr>
      <w:r>
        <w:rPr>
          <w:b/>
          <w:bCs/>
          <w:u w:val="single"/>
        </w:rPr>
        <w:t>“</w:t>
      </w:r>
      <w:r>
        <w:rPr>
          <w:b/>
          <w:bCs/>
          <w:u w:val="single"/>
        </w:rPr>
        <w:t>Maximum Usage”</w:t>
      </w:r>
      <w:r>
        <w:rPr/>
        <w:t xml:space="preserve"> means, for each Contract Year, 110% of the Normal Usage, increasing by 2.5% per Contract Year.</w:t>
      </w:r>
    </w:p>
    <w:p>
      <w:pPr>
        <w:pStyle w:val="Normal"/>
        <w:jc w:val="both"/>
        <w:rPr/>
      </w:pPr>
      <w:r>
        <w:rPr/>
      </w:r>
    </w:p>
    <w:p>
      <w:pPr>
        <w:pStyle w:val="Normal"/>
        <w:jc w:val="both"/>
        <w:rPr/>
      </w:pPr>
      <w:r>
        <w:rPr>
          <w:b/>
          <w:bCs/>
          <w:u w:val="single"/>
        </w:rPr>
        <w:t>“</w:t>
      </w:r>
      <w:r>
        <w:rPr>
          <w:b/>
          <w:bCs/>
          <w:u w:val="single"/>
        </w:rPr>
        <w:t>Minimum Usage”</w:t>
      </w:r>
      <w:r>
        <w:rPr/>
        <w:t xml:space="preserve">  means, for any Contract Year, 90% of the Normal Usage.</w:t>
      </w:r>
    </w:p>
    <w:p>
      <w:pPr>
        <w:pStyle w:val="Normal"/>
        <w:jc w:val="both"/>
        <w:rPr/>
      </w:pPr>
      <w:r>
        <w:rPr/>
      </w:r>
    </w:p>
    <w:p>
      <w:pPr>
        <w:pStyle w:val="Normal"/>
        <w:jc w:val="both"/>
        <w:rPr/>
      </w:pPr>
      <w:r>
        <w:rPr>
          <w:b/>
          <w:bCs/>
        </w:rPr>
        <w:t xml:space="preserve">Excess Usage: </w:t>
      </w:r>
      <w:r>
        <w:rPr/>
        <w:t xml:space="preserve">If  in any Contract Year, your Actual Usage exceeds the Maximum Usage </w:t>
      </w:r>
      <w:r>
        <w:rPr>
          <w:u w:val="single"/>
        </w:rPr>
        <w:t>(“Above Normal Usage”)</w:t>
      </w:r>
      <w:r>
        <w:rPr/>
        <w:t>, you will pay us the Energy Price for your Actual Usage up to the Maximum Usage.  For your Above Normal Usage you will pay an amount calculated as follows:  (Above Normal Usage x Weighted Average Spot Energy Price (per kWh)) + Costs.</w:t>
      </w:r>
    </w:p>
    <w:p>
      <w:pPr>
        <w:pStyle w:val="Normal"/>
        <w:jc w:val="both"/>
        <w:rPr/>
      </w:pPr>
      <w:r>
        <w:rPr/>
      </w:r>
    </w:p>
    <w:p>
      <w:pPr>
        <w:pStyle w:val="Normal"/>
        <w:jc w:val="both"/>
        <w:rPr/>
      </w:pPr>
      <w:r>
        <w:rPr>
          <w:b/>
          <w:bCs/>
        </w:rPr>
        <w:t xml:space="preserve">Deficiency Usage:  </w:t>
      </w:r>
      <w:r>
        <w:rPr/>
        <w:t xml:space="preserve">If  in any Contract Year, your Actual Usage less than the Minimum Usage </w:t>
      </w:r>
      <w:r>
        <w:rPr>
          <w:u w:val="single"/>
        </w:rPr>
        <w:t>(“Below Normal Usage”)</w:t>
      </w:r>
      <w:r>
        <w:rPr/>
        <w:t>, you will pay us the Energy Price for your Actual Usage up to the Minimum Usage.  For your Below Normal Usage you will pay the positive amount, if any, of an amount calculated as follows:  ((Minimum Usage – Actual Usage) x (Energy Price – Weighted Average Spot Energy Price)) + Costs.</w:t>
      </w:r>
    </w:p>
    <w:p>
      <w:pPr>
        <w:pStyle w:val="Normal"/>
        <w:jc w:val="both"/>
        <w:rPr/>
      </w:pPr>
      <w:r>
        <w:rPr/>
      </w:r>
    </w:p>
    <w:p>
      <w:pPr>
        <w:pStyle w:val="Normal"/>
        <w:jc w:val="both"/>
        <w:rPr/>
      </w:pPr>
      <w:r>
        <w:rPr/>
      </w:r>
    </w:p>
    <w:p>
      <w:pPr>
        <w:pStyle w:val="Heading2"/>
        <w:ind w:hanging="0" w:start="0"/>
        <w:rPr>
          <w:i/>
          <w:i/>
          <w:iCs/>
          <w:u w:val="single"/>
        </w:rPr>
      </w:pPr>
      <w:r>
        <w:rPr>
          <w:i/>
          <w:iCs/>
          <w:u w:val="single"/>
        </w:rPr>
        <w:t>SCE</w:t>
      </w:r>
    </w:p>
    <w:p>
      <w:pPr>
        <w:pStyle w:val="Normal"/>
        <w:jc w:val="both"/>
        <w:rPr>
          <w:i/>
          <w:i/>
          <w:iCs/>
          <w:u w:val="single"/>
        </w:rPr>
      </w:pPr>
      <w:r>
        <w:rPr>
          <w:i/>
          <w:iCs/>
          <w:u w:val="single"/>
        </w:rPr>
      </w:r>
    </w:p>
    <w:p>
      <w:pPr>
        <w:pStyle w:val="Normal"/>
        <w:jc w:val="both"/>
        <w:rPr/>
      </w:pPr>
      <w:r>
        <w:rPr/>
        <w:t>Contract with this information TABC Inc.</w:t>
      </w:r>
    </w:p>
    <w:p>
      <w:pPr>
        <w:pStyle w:val="Normal"/>
        <w:rPr>
          <w:b/>
          <w:bCs/>
          <w:i/>
          <w:i/>
          <w:iCs/>
          <w:u w:val="single"/>
        </w:rPr>
      </w:pPr>
      <w:r>
        <w:rPr>
          <w:b/>
          <w:bCs/>
          <w:i/>
          <w:iCs/>
          <w:u w:val="single"/>
        </w:rPr>
        <w:t>Baseline:</w:t>
      </w:r>
    </w:p>
    <w:p>
      <w:pPr>
        <w:pStyle w:val="Normal"/>
        <w:jc w:val="both"/>
        <w:rPr/>
      </w:pPr>
      <w:r>
        <w:rPr/>
      </w:r>
    </w:p>
    <w:tbl>
      <w:tblPr>
        <w:tblW w:w="14112" w:type="dxa"/>
        <w:jc w:val="start"/>
        <w:tblInd w:w="0" w:type="dxa"/>
        <w:tblLayout w:type="fixed"/>
        <w:tblCellMar>
          <w:top w:w="0" w:type="dxa"/>
          <w:start w:w="108" w:type="dxa"/>
          <w:bottom w:w="0" w:type="dxa"/>
          <w:end w:w="108" w:type="dxa"/>
        </w:tblCellMar>
      </w:tblPr>
      <w:tblGrid>
        <w:gridCol w:w="1176"/>
        <w:gridCol w:w="1176"/>
        <w:gridCol w:w="1176"/>
        <w:gridCol w:w="1176"/>
        <w:gridCol w:w="1176"/>
        <w:gridCol w:w="1176"/>
        <w:gridCol w:w="1176"/>
        <w:gridCol w:w="1176"/>
        <w:gridCol w:w="1176"/>
        <w:gridCol w:w="1176"/>
        <w:gridCol w:w="1176"/>
        <w:gridCol w:w="1176"/>
      </w:tblGrid>
      <w:tr>
        <w:trPr/>
        <w:tc>
          <w:tcPr>
            <w:tcW w:w="1176" w:type="dxa"/>
            <w:tcBorders>
              <w:top w:val="single" w:sz="4" w:space="0" w:color="000000"/>
              <w:start w:val="single" w:sz="4" w:space="0" w:color="000000"/>
              <w:bottom w:val="single" w:sz="4" w:space="0" w:color="000000"/>
              <w:end w:val="single" w:sz="4" w:space="0" w:color="000000"/>
            </w:tcBorders>
          </w:tcPr>
          <w:p>
            <w:pPr>
              <w:pStyle w:val="Normal"/>
              <w:jc w:val="center"/>
              <w:rPr/>
            </w:pPr>
            <w:r>
              <w:rPr/>
              <w:t>Jan</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Feb</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Mar</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Apr</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May</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June</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July</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Aug</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Sept</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Oct</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Nov</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Dec</w:t>
            </w:r>
          </w:p>
        </w:tc>
      </w:tr>
      <w:tr>
        <w:trPr/>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2,411,652</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2,320,042</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2,226,248</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2,214,100</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2,445,462</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2,289,175</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2,436,565</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2,517,876</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2,547,797</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2,502,126</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2,381,482</w:t>
            </w:r>
          </w:p>
        </w:tc>
        <w:tc>
          <w:tcPr>
            <w:tcW w:w="1176" w:type="dxa"/>
            <w:tcBorders>
              <w:top w:val="single" w:sz="4" w:space="0" w:color="000000"/>
              <w:start w:val="single" w:sz="4" w:space="0" w:color="000000"/>
              <w:bottom w:val="single" w:sz="4" w:space="0" w:color="000000"/>
              <w:end w:val="single" w:sz="4" w:space="0" w:color="000000"/>
            </w:tcBorders>
          </w:tcPr>
          <w:p>
            <w:pPr>
              <w:pStyle w:val="Normal"/>
              <w:jc w:val="both"/>
              <w:rPr/>
            </w:pPr>
            <w:r>
              <w:rPr/>
              <w:t>2,387,550</w:t>
            </w:r>
          </w:p>
          <w:p>
            <w:pPr>
              <w:pStyle w:val="Normal"/>
              <w:jc w:val="both"/>
              <w:rPr/>
            </w:pPr>
            <w:r>
              <w:rPr/>
            </w:r>
          </w:p>
        </w:tc>
      </w:tr>
    </w:tbl>
    <w:p>
      <w:pPr>
        <w:pStyle w:val="Normal"/>
        <w:jc w:val="both"/>
        <w:rPr/>
      </w:pPr>
      <w:r>
        <w:rPr/>
      </w:r>
    </w:p>
    <w:p>
      <w:pPr>
        <w:pStyle w:val="Normal"/>
        <w:jc w:val="both"/>
        <w:rPr/>
      </w:pPr>
      <w:r>
        <w:rPr/>
      </w:r>
    </w:p>
    <w:p>
      <w:pPr>
        <w:pStyle w:val="Normal"/>
        <w:jc w:val="both"/>
        <w:rPr/>
      </w:pPr>
      <w:r>
        <w:rPr>
          <w:b/>
          <w:bCs/>
        </w:rPr>
        <w:t>Anticipated Usage:</w:t>
      </w:r>
      <w:r>
        <w:rPr/>
        <w:t xml:space="preserve">  means the anticipated energy usage (in kWh) by each Account during each month, which shall be equal to either the monthly kWh amounts for each Account as specified in a Confirmation;  or if no such amounts are specified, the actual amount of energy (in kWh) used by each such Account during the same month during any consecutive 12 month period in the 24 months prior to the commencement of the applicable Transaction; provided that we still estimate any such data  that is not available.</w:t>
      </w:r>
    </w:p>
    <w:p>
      <w:pPr>
        <w:pStyle w:val="Normal"/>
        <w:jc w:val="both"/>
        <w:rPr/>
      </w:pPr>
      <w:r>
        <w:rPr/>
      </w:r>
    </w:p>
    <w:p>
      <w:pPr>
        <w:pStyle w:val="Normal"/>
        <w:jc w:val="both"/>
        <w:rPr/>
      </w:pPr>
      <w:r>
        <w:rPr/>
        <w:t>Max:  110%</w:t>
      </w:r>
    </w:p>
    <w:p>
      <w:pPr>
        <w:pStyle w:val="Normal"/>
        <w:jc w:val="both"/>
        <w:rPr/>
      </w:pPr>
      <w:r>
        <w:rPr/>
        <w:t>Min:  90%</w:t>
      </w:r>
    </w:p>
    <w:p>
      <w:pPr>
        <w:pStyle w:val="Normal"/>
        <w:jc w:val="both"/>
        <w:rPr/>
      </w:pPr>
      <w:r>
        <w:rPr/>
      </w:r>
    </w:p>
    <w:p>
      <w:pPr>
        <w:pStyle w:val="Normal"/>
        <w:jc w:val="both"/>
        <w:rPr/>
      </w:pPr>
      <w:r>
        <w:rPr/>
      </w:r>
    </w:p>
    <w:p>
      <w:pPr>
        <w:pStyle w:val="Normal"/>
        <w:jc w:val="both"/>
        <w:rPr>
          <w:b/>
          <w:bCs/>
        </w:rPr>
      </w:pPr>
      <w:r>
        <w:rPr>
          <w:b/>
          <w:bCs/>
        </w:rPr>
      </w:r>
    </w:p>
    <w:p>
      <w:pPr>
        <w:pStyle w:val="Normal"/>
        <w:jc w:val="both"/>
        <w:rPr>
          <w:b/>
          <w:bCs/>
        </w:rPr>
      </w:pPr>
      <w:r>
        <w:rPr>
          <w:b/>
          <w:bCs/>
        </w:rPr>
      </w:r>
    </w:p>
    <w:p>
      <w:pPr>
        <w:pStyle w:val="Normal"/>
        <w:jc w:val="both"/>
        <w:rPr/>
      </w:pPr>
      <w:r>
        <w:rPr>
          <w:b/>
          <w:bCs/>
        </w:rPr>
        <w:t>Usage Adjustments:</w:t>
      </w:r>
      <w:r>
        <w:rPr/>
        <w:t xml:space="preserve">  For each Account for each transaction, if the Account’s Actual Usage during any month is greater than the Maximum Usage for such month (Excess Usage) or less than the Minimum Usage for such month (Deficiency Usuage), you will pay us, in addition to the price stated in the Confirmation, an amount on account thereof as specified on the applicable Confirmation.  Amounts due for Excess and Deficiency Usage will be determined monthly and charged to you on a quarterly basis during the applicable Transaction term.  </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both"/>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2001-10-12T18:28:00Z</dcterms:created>
  <dc:creator>KPMG</dc:creator>
  <dc:description/>
  <dc:language>en-CA</dc:language>
  <cp:lastModifiedBy>annieleung</cp:lastModifiedBy>
  <dcterms:modified xsi:type="dcterms:W3CDTF">2001-10-12T18:28:00Z</dcterms:modified>
  <cp:revision>2</cp:revision>
  <dc:subject/>
  <dc:title>SDG&amp;E  </dc:title>
</cp:coreProperties>
</file>