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4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1381"/>
        <w:gridCol w:w="906"/>
        <w:gridCol w:w="905"/>
        <w:gridCol w:w="906"/>
        <w:gridCol w:w="905"/>
        <w:gridCol w:w="905"/>
        <w:gridCol w:w="906"/>
        <w:gridCol w:w="905"/>
        <w:gridCol w:w="921"/>
      </w:tblGrid>
      <w:tr>
        <w:trPr/>
        <w:tc>
          <w:tcPr>
            <w:tcW w:w="8640" w:type="dxa"/>
            <w:gridSpan w:val="9"/>
            <w:tcBorders/>
            <w:shd w:fill="CCCC99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</w:rPr>
              <w:t>Base Salary</w:t>
            </w:r>
            <w:r>
              <w:rPr>
                <w:b/>
                <w:bCs/>
              </w:rPr>
              <w:br/>
            </w:r>
            <w:r>
              <w:rPr>
                <w:rFonts w:cs="MS Sans Serif" w:ascii="MS Sans Serif" w:hAnsi="MS Sans Serif"/>
                <w:b/>
                <w:bCs/>
                <w:sz w:val="20"/>
                <w:szCs w:val="20"/>
              </w:rPr>
              <w:t>(</w:t>
            </w:r>
            <w:hyperlink r:id="rId2">
              <w:r>
                <w:rPr>
                  <w:rStyle w:val="Hyperlink"/>
                  <w:rFonts w:cs="MS Sans Serif" w:ascii="MS Sans Serif" w:hAnsi="MS Sans Serif"/>
                  <w:b/>
                  <w:bCs/>
                  <w:sz w:val="20"/>
                  <w:szCs w:val="20"/>
                </w:rPr>
                <w:t>Total Potential Salary</w:t>
              </w:r>
            </w:hyperlink>
            <w:r>
              <w:rPr>
                <w:rFonts w:cs="MS Sans Serif" w:ascii="MS Sans Serif" w:hAnsi="MS Sans Serif"/>
                <w:b/>
                <w:bCs/>
                <w:sz w:val="20"/>
                <w:szCs w:val="20"/>
              </w:rPr>
              <w:t xml:space="preserve"> | </w:t>
            </w:r>
            <w:hyperlink r:id="rId3">
              <w:r>
                <w:rPr>
                  <w:rStyle w:val="Hyperlink"/>
                  <w:rFonts w:cs="MS Sans Serif" w:ascii="MS Sans Serif" w:hAnsi="MS Sans Serif"/>
                  <w:b/>
                  <w:bCs/>
                  <w:sz w:val="20"/>
                  <w:szCs w:val="20"/>
                </w:rPr>
                <w:t>Base Salary/Hour Worked</w:t>
              </w:r>
            </w:hyperlink>
            <w:r>
              <w:rPr>
                <w:rFonts w:cs="MS Sans Serif" w:ascii="MS Sans Serif" w:hAnsi="MS Sans Serif"/>
                <w:b/>
                <w:bCs/>
                <w:sz w:val="20"/>
                <w:szCs w:val="20"/>
              </w:rPr>
              <w:t xml:space="preserve"> | </w:t>
            </w:r>
            <w:hyperlink r:id="rId4">
              <w:r>
                <w:rPr>
                  <w:rStyle w:val="Hyperlink"/>
                  <w:rFonts w:cs="MS Sans Serif" w:ascii="MS Sans Serif" w:hAnsi="MS Sans Serif"/>
                  <w:b/>
                  <w:bCs/>
                  <w:sz w:val="20"/>
                  <w:szCs w:val="20"/>
                </w:rPr>
                <w:t>Potential Salary/Hour Worked</w:t>
              </w:r>
            </w:hyperlink>
            <w:r>
              <w:rPr>
                <w:rFonts w:cs="MS Sans Serif" w:ascii="MS Sans Serif" w:hAnsi="MS Sans Serif"/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</w:rPr>
              <w:br/>
            </w:r>
            <w:r>
              <w:rPr>
                <w:rFonts w:cs="MS Sans Serif" w:ascii="MS Sans Serif" w:hAnsi="MS Sans Serif"/>
                <w:b/>
                <w:bCs/>
                <w:sz w:val="15"/>
                <w:szCs w:val="15"/>
              </w:rPr>
              <w:t>Click on any column heading to rank the employers in descending order by that category.</w:t>
            </w:r>
            <w:r>
              <w:rPr>
                <w:b/>
                <w:bCs/>
              </w:rPr>
              <w:t xml:space="preserve"> </w:t>
            </w:r>
          </w:p>
        </w:tc>
      </w:tr>
      <w:tr>
        <w:trPr/>
        <w:tc>
          <w:tcPr>
            <w:tcW w:w="1381" w:type="dxa"/>
            <w:tcBorders/>
            <w:shd w:fill="EEEECC" w:val="clear"/>
            <w:vAlign w:val="bottom"/>
          </w:tcPr>
          <w:p>
            <w:pPr>
              <w:pStyle w:val="Normal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Firm</w:t>
            </w:r>
          </w:p>
        </w:tc>
        <w:tc>
          <w:tcPr>
            <w:tcW w:w="906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5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1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6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5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7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2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8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6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9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3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10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5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11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4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12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5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13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5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14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6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15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6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16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05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17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7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18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  <w:tc>
          <w:tcPr>
            <w:tcW w:w="921" w:type="dxa"/>
            <w:tcBorders/>
            <w:shd w:fill="EEEECC" w:val="clear"/>
            <w:vAlign w:val="bottom"/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</w:rPr>
            </w:pPr>
            <w:hyperlink r:id="rId19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 xml:space="preserve">Year 8 </w:t>
              </w:r>
              <w:r>
                <w:rPr>
                  <w:rStyle w:val="Hyperlink"/>
                  <w:rFonts w:cs="Verdana" w:ascii="Verdana" w:hAnsi="Verdana"/>
                  <w:b/>
                  <w:bCs/>
                  <w:color w:val="0000FF"/>
                  <w:sz w:val="15"/>
                  <w:szCs w:val="15"/>
                  <w:u w:val="single"/>
                </w:rPr>
                <w:br/>
              </w:r>
            </w:hyperlink>
            <w:hyperlink r:id="rId20">
              <w:r>
                <w:rPr>
                  <w:rStyle w:val="Hyperlink"/>
                  <w:rFonts w:cs="Verdana" w:ascii="Verdana" w:hAnsi="Verdana"/>
                  <w:b/>
                  <w:bCs/>
                  <w:sz w:val="15"/>
                  <w:szCs w:val="15"/>
                </w:rPr>
                <w:t>Details</w:t>
              </w:r>
            </w:hyperlink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1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Akin, Gump, Strauss, Hauer &amp; Feld, L.L.P.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2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Andrews &amp; Kurth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1" name="ig" descr="" title="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g" descr="" title="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$114,000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$121,000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$131,000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$142,000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$156,000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$165,000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$177,000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5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Arnold, White &amp; Durkee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$123,000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$142,000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$163,000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6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Baker &amp; Hostetler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7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Baker &amp; McKenzie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28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Baker Botts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2" name="Image1" descr="" title="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$114,000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$121,000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31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Bracewell &amp; Patterson,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3" name="Image2" descr="" title="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34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Chamberlain, Hrdlicka, White, Williams &amp; Martin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$84,000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35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Felsman, Bradley, Vaden, Gunter &amp; Dillon,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$72,000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36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Fulbright &amp; Jaworski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4" name="Image3" descr="" title="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 title="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39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Gardere Wynne Sewell &amp; Riggs, L.L.P.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0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Haynes and Boone,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$108,824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$111,765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$118,628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$127,451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$137,255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$142,157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$151,967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1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Hicks Thomas &amp; Lilienstern,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2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Jenkens &amp; Gilchrist, A Professional Corporation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$114,000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$121,000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$160,000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3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King &amp; Spalding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$150,000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4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Locke Liddell &amp; Sapp LLP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5" name="Image4" descr="" title="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 title="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$114,000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7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Mayer, Brown &amp; Platt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48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Mayor, Day, Caldwell &amp; Keeton,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6" name="Image5" descr="" title="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 title="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$127,500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$142,500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$150,000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1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McGlinchey Stafford, P.L.L.C.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$92,500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$96,000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$99,000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$103,000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2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Porter &amp; Hedges, L.L.P.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3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Seyfarth, Shaw, Fairweather &amp; Geraldson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4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Sheinfeld, Maley &amp; Kay, P.C.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5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Shook, Hardy &amp; Bacon L.L.P.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$95,000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$104,500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6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Skadden, Arps, Slate, Meagher &amp; Flom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7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Susman Godfrey L.L.P.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58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Vinson &amp; Elkins L.L.P.</w:t>
              </w:r>
            </w:hyperlink>
            <w:r>
              <w:rPr>
                <w:rFonts w:cs="Verdana" w:ascii="Verdana" w:hAnsi="Verdana"/>
                <w:sz w:val="15"/>
                <w:szCs w:val="15"/>
              </w:rPr>
              <w:t xml:space="preserve"> </w:t>
            </w:r>
            <w:r>
              <w:rPr>
                <w:rFonts w:cs="Verdana" w:ascii="Verdana" w:hAnsi="Verdana"/>
                <w:color w:val="0000FF"/>
                <w:sz w:val="15"/>
                <w:szCs w:val="15"/>
              </w:rPr>
              <w:drawing>
                <wp:inline distT="0" distB="0" distL="0" distR="0">
                  <wp:extent cx="95250" cy="76200"/>
                  <wp:effectExtent l="0" t="0" r="0" b="0"/>
                  <wp:docPr id="7" name="Image6" descr="" title="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 title="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-377" t="-472" r="-377" b="-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$114,000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$121,000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$160,000  </w:t>
            </w:r>
          </w:p>
        </w:tc>
      </w:tr>
      <w:tr>
        <w:trPr/>
        <w:tc>
          <w:tcPr>
            <w:tcW w:w="1381" w:type="dxa"/>
            <w:tcBorders/>
            <w:shd w:fill="F3F3EF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61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Weil, Gotshal &amp; Manges LLP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$130,000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$165,000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$180,000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$190,000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F3F3EF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  <w:tr>
        <w:trPr/>
        <w:tc>
          <w:tcPr>
            <w:tcW w:w="1381" w:type="dxa"/>
            <w:tcBorders/>
            <w:shd w:fill="DFE1D8" w:val="clea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hyperlink r:id="rId62">
              <w:r>
                <w:rPr>
                  <w:rStyle w:val="Hyperlink"/>
                  <w:rFonts w:cs="Verdana" w:ascii="Verdana" w:hAnsi="Verdana"/>
                  <w:sz w:val="15"/>
                  <w:szCs w:val="15"/>
                </w:rPr>
                <w:t>Winstead Sechrest &amp; Minick P.C.</w:t>
              </w:r>
            </w:hyperlink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$105,000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$115,200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$126,000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$132,500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$145,000  </w:t>
            </w:r>
            <w:r>
              <w:rPr/>
              <w:t xml:space="preserve"> </w:t>
            </w:r>
          </w:p>
        </w:tc>
        <w:tc>
          <w:tcPr>
            <w:tcW w:w="906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$148,000  </w:t>
            </w:r>
            <w:r>
              <w:rPr/>
              <w:t xml:space="preserve"> </w:t>
            </w:r>
          </w:p>
        </w:tc>
        <w:tc>
          <w:tcPr>
            <w:tcW w:w="905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$155,000  </w:t>
            </w:r>
            <w:r>
              <w:rPr/>
              <w:t xml:space="preserve"> </w:t>
            </w:r>
          </w:p>
        </w:tc>
        <w:tc>
          <w:tcPr>
            <w:tcW w:w="921" w:type="dxa"/>
            <w:tcBorders/>
            <w:shd w:fill="DFE1D8" w:val="clear"/>
          </w:tcPr>
          <w:p>
            <w:pPr>
              <w:pStyle w:val="Normal"/>
              <w:jc w:val="end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 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MS Sans Serif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obs.findlaw.com/shared/search/payscale-compare.tcl?city=Houston&amp;total_potential_p=t" TargetMode="External"/><Relationship Id="rId3" Type="http://schemas.openxmlformats.org/officeDocument/2006/relationships/hyperlink" Target="http://jobs.findlaw.com/shared/search/payscale-compare.tcl?city=Houston&amp;base_per_hour_p=t" TargetMode="External"/><Relationship Id="rId4" Type="http://schemas.openxmlformats.org/officeDocument/2006/relationships/hyperlink" Target="http://jobs.findlaw.com/shared/search/payscale-compare.tcl?city=Houston&amp;total_potential_per_hour_p=t" TargetMode="External"/><Relationship Id="rId5" Type="http://schemas.openxmlformats.org/officeDocument/2006/relationships/hyperlink" Target="http://jobs.findlaw.com/shared/search/payscale-compare.tcl?order_by=%7Bnvl%28ps%2Eyear%5F1%5Fsalary%2C0%29%20desc%7D%20e%2Efirm%5Fname%20%7Bnvl%28ps%2Eyear%5F2%5Fsalary%2C0%29%20desc%7D%20%7Bnvl%28ps%2Eyear%5F3%5Fsalary%2C0%29%20desc%7D%20%7Bnv%20" TargetMode="External"/><Relationship Id="rId6" Type="http://schemas.openxmlformats.org/officeDocument/2006/relationships/hyperlink" Target="http://jobs.findlaw.com/shared/search/payscale-compare.tcl?city=Houston&amp;year=1" TargetMode="External"/><Relationship Id="rId7" Type="http://schemas.openxmlformats.org/officeDocument/2006/relationships/hyperlink" Target="http://jobs.findlaw.com/shared/search/payscale-compare.tcl?order_by=%7Bnvl%28ps%2Eyear%5F2%5Fsalary%2C0%29%20desc%7D%20e%2Efirm%5Fname%20%7Bnvl%28ps%2Eyear%5F1%5Fsalary%2C0%29%20desc%7D%20%7Bnvl%28ps%2Eyear%5F3%5Fsalary%2C0%29%20desc%7D%20%7Bnv%20" TargetMode="External"/><Relationship Id="rId8" Type="http://schemas.openxmlformats.org/officeDocument/2006/relationships/hyperlink" Target="http://jobs.findlaw.com/shared/search/payscale-compare.tcl?city=Houston&amp;year=2" TargetMode="External"/><Relationship Id="rId9" Type="http://schemas.openxmlformats.org/officeDocument/2006/relationships/hyperlink" Target="http://jobs.findlaw.com/shared/search/payscale-compare.tcl?order_by=%7Bnvl%28ps%2Eyear%5F3%5Fsalary%2C0%29%20desc%7D%20e%2Efirm%5Fname%20%7Bnvl%28ps%2Eyear%5F1%5Fsalary%2C0%29%20desc%7D%20%7Bnvl%28ps%2Eyear%5F2%5Fsalary%2C0%29%20desc%7D%20%7Bnv%20" TargetMode="External"/><Relationship Id="rId10" Type="http://schemas.openxmlformats.org/officeDocument/2006/relationships/hyperlink" Target="http://jobs.findlaw.com/shared/search/payscale-compare.tcl?city=Houston&amp;year=3" TargetMode="External"/><Relationship Id="rId11" Type="http://schemas.openxmlformats.org/officeDocument/2006/relationships/hyperlink" Target="http://jobs.findlaw.com/shared/search/payscale-compare.tcl?order_by=%7Bnvl%28ps%2Eyear%5F4%5Fsalary%2C0%29%20desc%7D%20e%2Efirm%5Fname%20%7Bnvl%28ps%2Eyear%5F1%5Fsalary%2C0%29%20desc%7D%20%7Bnvl%28ps%2Eyear%5F2%5Fsalary%2C0%29%20desc%7D%20%7Bnv%20" TargetMode="External"/><Relationship Id="rId12" Type="http://schemas.openxmlformats.org/officeDocument/2006/relationships/hyperlink" Target="http://jobs.findlaw.com/shared/search/payscale-compare.tcl?city=Houston&amp;year=4" TargetMode="External"/><Relationship Id="rId13" Type="http://schemas.openxmlformats.org/officeDocument/2006/relationships/hyperlink" Target="http://jobs.findlaw.com/shared/search/payscale-compare.tcl?order_by=%7Bnvl%28ps%2Eyear%5F5%5Fsalary%2C0%29%20desc%7D%20e%2Efirm%5Fname%20%7Bnvl%28ps%2Eyear%5F1%5Fsalary%2C0%29%20desc%7D%20%7Bnvl%28ps%2Eyear%5F2%5Fsalary%2C0%29%20desc%7D%20%7Bnv%20" TargetMode="External"/><Relationship Id="rId14" Type="http://schemas.openxmlformats.org/officeDocument/2006/relationships/hyperlink" Target="http://jobs.findlaw.com/shared/search/payscale-compare.tcl?city=Houston&amp;year=5" TargetMode="External"/><Relationship Id="rId15" Type="http://schemas.openxmlformats.org/officeDocument/2006/relationships/hyperlink" Target="http://jobs.findlaw.com/shared/search/payscale-compare.tcl?order_by=%7Bnvl%28ps%2Eyear%5F6%5Fsalary%2C0%29%20desc%7D%20e%2Efirm%5Fname%20%7Bnvl%28ps%2Eyear%5F1%5Fsalary%2C0%29%20desc%7D%20%7Bnvl%28ps%2Eyear%5F2%5Fsalary%2C0%29%20desc%7D%20%7Bnv%20" TargetMode="External"/><Relationship Id="rId16" Type="http://schemas.openxmlformats.org/officeDocument/2006/relationships/hyperlink" Target="http://jobs.findlaw.com/shared/search/payscale-compare.tcl?city=Houston&amp;year=6" TargetMode="External"/><Relationship Id="rId17" Type="http://schemas.openxmlformats.org/officeDocument/2006/relationships/hyperlink" Target="http://jobs.findlaw.com/shared/search/payscale-compare.tcl?order_by=%7Bnvl%28ps%2Eyear%5F7%5Fsalary%2C0%29%20desc%7D%20e%2Efirm%5Fname%20%7Bnvl%28ps%2Eyear%5F1%5Fsalary%2C0%29%20desc%7D%20%7Bnvl%28ps%2Eyear%5F2%5Fsalary%2C0%29%20desc%7D%20%7Bnv%20" TargetMode="External"/><Relationship Id="rId18" Type="http://schemas.openxmlformats.org/officeDocument/2006/relationships/hyperlink" Target="http://jobs.findlaw.com/shared/search/payscale-compare.tcl?city=Houston&amp;year=7" TargetMode="External"/><Relationship Id="rId19" Type="http://schemas.openxmlformats.org/officeDocument/2006/relationships/hyperlink" Target="http://jobs.findlaw.com/shared/search/payscale-compare.tcl?order_by=%7Bnvl%28ps%2Eyear%5F8%5Fsalary%2C0%29%20desc%7D%20e%2Efirm%5Fname%20%7Bnvl%28ps%2Eyear%5F1%5Fsalary%2C0%29%20desc%7D%20%7Bnvl%28ps%2Eyear%5F2%5Fsalary%2C0%29%20desc%7D%20%7Bnv%20" TargetMode="External"/><Relationship Id="rId20" Type="http://schemas.openxmlformats.org/officeDocument/2006/relationships/hyperlink" Target="http://jobs.findlaw.com/shared/search/payscale-compare.tcl?city=Houston&amp;year=8" TargetMode="External"/><Relationship Id="rId21" Type="http://schemas.openxmlformats.org/officeDocument/2006/relationships/hyperlink" Target="http://jobs.findlaw.com/shared/lss/one-payscale.tcl?employer_id=TX1110" TargetMode="External"/><Relationship Id="rId22" Type="http://schemas.openxmlformats.org/officeDocument/2006/relationships/hyperlink" Target="http://jobs.findlaw.com/shared/lss/one-payscale.tcl?employer_id=TX1120" TargetMode="External"/><Relationship Id="rId23" Type="http://schemas.openxmlformats.org/officeDocument/2006/relationships/image" Target="media/image1.png"/><Relationship Id="rId24" Type="http://schemas.openxmlformats.org/officeDocument/2006/relationships/hyperlink" Target="http://jobs.findlaw.com/shared/insider/one.tcl?firm_id=520" TargetMode="External"/><Relationship Id="rId25" Type="http://schemas.openxmlformats.org/officeDocument/2006/relationships/hyperlink" Target="http://jobs.findlaw.com/shared/lss/one-payscale.tcl?employer_id=XX29%20%20" TargetMode="External"/><Relationship Id="rId26" Type="http://schemas.openxmlformats.org/officeDocument/2006/relationships/hyperlink" Target="http://jobs.findlaw.com/shared/lss/one-payscale.tcl?employer_id=XX5641" TargetMode="External"/><Relationship Id="rId27" Type="http://schemas.openxmlformats.org/officeDocument/2006/relationships/hyperlink" Target="http://jobs.findlaw.com/shared/lss/one-payscale.tcl?employer_id=TX1170" TargetMode="External"/><Relationship Id="rId28" Type="http://schemas.openxmlformats.org/officeDocument/2006/relationships/hyperlink" Target="http://jobs.findlaw.com/shared/lss/one-payscale.tcl?employer_id=TX1160" TargetMode="External"/><Relationship Id="rId29" Type="http://schemas.openxmlformats.org/officeDocument/2006/relationships/image" Target="media/image1.png"/><Relationship Id="rId30" Type="http://schemas.openxmlformats.org/officeDocument/2006/relationships/hyperlink" Target="http://jobs.findlaw.com/shared/insider/one.tcl?firm_id=521" TargetMode="External"/><Relationship Id="rId31" Type="http://schemas.openxmlformats.org/officeDocument/2006/relationships/hyperlink" Target="http://jobs.findlaw.com/shared/lss/one-payscale.tcl?employer_id=TX1180" TargetMode="External"/><Relationship Id="rId32" Type="http://schemas.openxmlformats.org/officeDocument/2006/relationships/image" Target="media/image1.png"/><Relationship Id="rId33" Type="http://schemas.openxmlformats.org/officeDocument/2006/relationships/hyperlink" Target="http://jobs.findlaw.com/shared/insider/one.tcl?firm_id=522" TargetMode="External"/><Relationship Id="rId34" Type="http://schemas.openxmlformats.org/officeDocument/2006/relationships/hyperlink" Target="http://jobs.findlaw.com/shared/lss/one-payscale.tcl?employer_id=XX9620" TargetMode="External"/><Relationship Id="rId35" Type="http://schemas.openxmlformats.org/officeDocument/2006/relationships/hyperlink" Target="http://jobs.findlaw.com/shared/lss/one-payscale.tcl?employer_id=XX5920" TargetMode="External"/><Relationship Id="rId36" Type="http://schemas.openxmlformats.org/officeDocument/2006/relationships/hyperlink" Target="http://jobs.findlaw.com/shared/lss/one-payscale.tcl?employer_id=TX1220" TargetMode="External"/><Relationship Id="rId37" Type="http://schemas.openxmlformats.org/officeDocument/2006/relationships/image" Target="media/image1.png"/><Relationship Id="rId38" Type="http://schemas.openxmlformats.org/officeDocument/2006/relationships/hyperlink" Target="http://jobs.findlaw.com/shared/insider/one.tcl?firm_id=528" TargetMode="External"/><Relationship Id="rId39" Type="http://schemas.openxmlformats.org/officeDocument/2006/relationships/hyperlink" Target="http://jobs.findlaw.com/shared/lss/one-payscale.tcl?employer_id=XX5642" TargetMode="External"/><Relationship Id="rId40" Type="http://schemas.openxmlformats.org/officeDocument/2006/relationships/hyperlink" Target="http://jobs.findlaw.com/shared/lss/one-payscale.tcl?employer_id=TX1260" TargetMode="External"/><Relationship Id="rId41" Type="http://schemas.openxmlformats.org/officeDocument/2006/relationships/hyperlink" Target="http://jobs.findlaw.com/shared/lss/one-payscale.tcl?employer_id=XX5660" TargetMode="External"/><Relationship Id="rId42" Type="http://schemas.openxmlformats.org/officeDocument/2006/relationships/hyperlink" Target="http://jobs.findlaw.com/shared/lss/one-payscale.tcl?employer_id=TX1320" TargetMode="External"/><Relationship Id="rId43" Type="http://schemas.openxmlformats.org/officeDocument/2006/relationships/hyperlink" Target="http://jobs.findlaw.com/shared/lss/one-payscale.tcl?employer_id=XX3660" TargetMode="External"/><Relationship Id="rId44" Type="http://schemas.openxmlformats.org/officeDocument/2006/relationships/hyperlink" Target="http://jobs.findlaw.com/shared/lss/one-payscale.tcl?employer_id=TX1360" TargetMode="External"/><Relationship Id="rId45" Type="http://schemas.openxmlformats.org/officeDocument/2006/relationships/image" Target="media/image1.png"/><Relationship Id="rId46" Type="http://schemas.openxmlformats.org/officeDocument/2006/relationships/hyperlink" Target="http://jobs.findlaw.com/shared/insider/one.tcl?firm_id=529" TargetMode="External"/><Relationship Id="rId47" Type="http://schemas.openxmlformats.org/officeDocument/2006/relationships/hyperlink" Target="http://jobs.findlaw.com/shared/lss/one-payscale.tcl?employer_id=TX1380" TargetMode="External"/><Relationship Id="rId48" Type="http://schemas.openxmlformats.org/officeDocument/2006/relationships/hyperlink" Target="http://jobs.findlaw.com/shared/lss/one-payscale.tcl?employer_id=TX1400" TargetMode="External"/><Relationship Id="rId49" Type="http://schemas.openxmlformats.org/officeDocument/2006/relationships/image" Target="media/image1.png"/><Relationship Id="rId50" Type="http://schemas.openxmlformats.org/officeDocument/2006/relationships/hyperlink" Target="http://jobs.findlaw.com/shared/insider/one.tcl?firm_id=530" TargetMode="External"/><Relationship Id="rId51" Type="http://schemas.openxmlformats.org/officeDocument/2006/relationships/hyperlink" Target="http://jobs.findlaw.com/shared/lss/one-payscale.tcl?employer_id=XX3781" TargetMode="External"/><Relationship Id="rId52" Type="http://schemas.openxmlformats.org/officeDocument/2006/relationships/hyperlink" Target="http://jobs.findlaw.com/shared/lss/one-payscale.tcl?employer_id=TX1460" TargetMode="External"/><Relationship Id="rId53" Type="http://schemas.openxmlformats.org/officeDocument/2006/relationships/hyperlink" Target="http://jobs.findlaw.com/shared/lss/one-payscale.tcl?employer_id=XX5661" TargetMode="External"/><Relationship Id="rId54" Type="http://schemas.openxmlformats.org/officeDocument/2006/relationships/hyperlink" Target="http://jobs.findlaw.com/shared/lss/one-payscale.tcl?employer_id=XX5662" TargetMode="External"/><Relationship Id="rId55" Type="http://schemas.openxmlformats.org/officeDocument/2006/relationships/hyperlink" Target="http://jobs.findlaw.com/shared/lss/one-payscale.tcl?employer_id=XX5640" TargetMode="External"/><Relationship Id="rId56" Type="http://schemas.openxmlformats.org/officeDocument/2006/relationships/hyperlink" Target="http://jobs.findlaw.com/shared/lss/one-payscale.tcl?employer_id=XX561%20" TargetMode="External"/><Relationship Id="rId57" Type="http://schemas.openxmlformats.org/officeDocument/2006/relationships/hyperlink" Target="http://jobs.findlaw.com/shared/lss/one-payscale.tcl?employer_id=TX1500" TargetMode="External"/><Relationship Id="rId58" Type="http://schemas.openxmlformats.org/officeDocument/2006/relationships/hyperlink" Target="http://jobs.findlaw.com/shared/lss/one-payscale.tcl?employer_id=TX1540" TargetMode="External"/><Relationship Id="rId59" Type="http://schemas.openxmlformats.org/officeDocument/2006/relationships/image" Target="media/image1.png"/><Relationship Id="rId60" Type="http://schemas.openxmlformats.org/officeDocument/2006/relationships/hyperlink" Target="http://jobs.findlaw.com/shared/insider/one.tcl?firm_id=531" TargetMode="External"/><Relationship Id="rId61" Type="http://schemas.openxmlformats.org/officeDocument/2006/relationships/hyperlink" Target="http://jobs.findlaw.com/shared/lss/one-payscale.tcl?employer_id=XX82%20%20" TargetMode="External"/><Relationship Id="rId62" Type="http://schemas.openxmlformats.org/officeDocument/2006/relationships/hyperlink" Target="http://jobs.findlaw.com/shared/lss/one-payscale.tcl?employer_id=XX4261" TargetMode="Externa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2001-04-02T16:10:00Z</dcterms:created>
  <dc:creator>gnemec</dc:creator>
  <dc:description/>
  <dc:language>en-CA</dc:language>
  <cp:lastModifiedBy>gnemec</cp:lastModifiedBy>
  <dcterms:modified xsi:type="dcterms:W3CDTF">2001-04-02T16:12:00Z</dcterms:modified>
  <cp:revision>1</cp:revision>
  <dc:subject/>
  <dc:title>Base Salary(Total Potential Salary | Base Salary/Hour Worked | Potential Salary/Hour Worked)Click on any column heading to ran</dc:title>
</cp:coreProperties>
</file>