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Electric Supply and Transmission Act</w:t>
      </w:r>
    </w:p>
    <w:p>
      <w:pPr>
        <w:pStyle w:val="Normal"/>
        <w:jc w:val="center"/>
        <w:rPr>
          <w:b/>
          <w:bCs/>
          <w:sz w:val="28"/>
        </w:rPr>
      </w:pPr>
      <w:r>
        <w:rPr>
          <w:b/>
          <w:bCs/>
          <w:sz w:val="28"/>
        </w:rPr>
        <w:t>September 21, 2001 Discussion Draft</w:t>
      </w:r>
    </w:p>
    <w:p>
      <w:pPr>
        <w:pStyle w:val="Normal"/>
        <w:jc w:val="center"/>
        <w:rPr>
          <w:b/>
          <w:bCs/>
          <w:sz w:val="28"/>
        </w:rPr>
      </w:pPr>
      <w:r>
        <w:rPr>
          <w:b/>
          <w:bCs/>
          <w:sz w:val="28"/>
        </w:rPr>
        <w:t>Highlights</w:t>
      </w:r>
    </w:p>
    <w:p>
      <w:pPr>
        <w:pStyle w:val="Normal"/>
        <w:rPr/>
      </w:pPr>
      <w:r>
        <w:rPr/>
      </w:r>
    </w:p>
    <w:p>
      <w:pPr>
        <w:pStyle w:val="Heading1"/>
        <w:ind w:hanging="0" w:start="0"/>
        <w:rPr/>
      </w:pPr>
      <w:r>
        <w:rPr/>
        <w:t>Electric Supply</w:t>
      </w:r>
    </w:p>
    <w:p>
      <w:pPr>
        <w:pStyle w:val="Normal"/>
        <w:numPr>
          <w:ilvl w:val="0"/>
          <w:numId w:val="5"/>
        </w:numPr>
        <w:rPr/>
      </w:pPr>
      <w:r>
        <w:rPr/>
        <w:t xml:space="preserve">Direct FERC to establish </w:t>
      </w:r>
      <w:r>
        <w:rPr>
          <w:u w:val="single"/>
        </w:rPr>
        <w:t>uniform interconnection standards</w:t>
      </w:r>
      <w:r>
        <w:rPr/>
        <w:t xml:space="preserve"> for both distribution and transmission facilities.</w:t>
      </w:r>
    </w:p>
    <w:p>
      <w:pPr>
        <w:pStyle w:val="Normal"/>
        <w:numPr>
          <w:ilvl w:val="0"/>
          <w:numId w:val="5"/>
        </w:numPr>
        <w:rPr/>
      </w:pPr>
      <w:r>
        <w:rPr/>
        <w:t xml:space="preserve">States and non-regulated utilities must implement </w:t>
      </w:r>
      <w:r>
        <w:rPr>
          <w:u w:val="single"/>
        </w:rPr>
        <w:t>net metering</w:t>
      </w:r>
      <w:r>
        <w:rPr/>
        <w:t xml:space="preserve"> programs meeting minimum Federal standards for residential renewable and fuel cell generation.  In a State or non-regulated service territory not in compliance by a date certain, FERC shall implement a net metering program that meets the standards.</w:t>
      </w:r>
    </w:p>
    <w:p>
      <w:pPr>
        <w:pStyle w:val="Normal"/>
        <w:numPr>
          <w:ilvl w:val="0"/>
          <w:numId w:val="5"/>
        </w:numPr>
        <w:rPr/>
      </w:pPr>
      <w:r>
        <w:rPr>
          <w:u w:val="single"/>
        </w:rPr>
        <w:t>Advanced metering</w:t>
      </w:r>
      <w:r>
        <w:rPr/>
        <w:t xml:space="preserve"> proposals are sought from Members and stakeholders.</w:t>
      </w:r>
    </w:p>
    <w:p>
      <w:pPr>
        <w:pStyle w:val="Normal"/>
        <w:numPr>
          <w:ilvl w:val="0"/>
          <w:numId w:val="5"/>
        </w:numPr>
        <w:rPr/>
      </w:pPr>
      <w:r>
        <w:rPr/>
        <w:t xml:space="preserve">FERC directed to implement </w:t>
      </w:r>
      <w:r>
        <w:rPr>
          <w:u w:val="single"/>
        </w:rPr>
        <w:t>price-responsive demand management</w:t>
      </w:r>
      <w:r>
        <w:rPr/>
        <w:t xml:space="preserve"> programs in consultation with the States and others.</w:t>
      </w:r>
    </w:p>
    <w:p>
      <w:pPr>
        <w:pStyle w:val="Normal"/>
        <w:numPr>
          <w:ilvl w:val="0"/>
          <w:numId w:val="5"/>
        </w:numPr>
        <w:rPr/>
      </w:pPr>
      <w:r>
        <w:rPr/>
        <w:t xml:space="preserve">Repeal </w:t>
      </w:r>
      <w:r>
        <w:rPr>
          <w:u w:val="single"/>
        </w:rPr>
        <w:t>Public Utility Holding Company Act of 1935 (PUHCA)</w:t>
      </w:r>
      <w:r>
        <w:rPr/>
        <w:t xml:space="preserve"> and replace it with increased access to certain books and records.</w:t>
      </w:r>
    </w:p>
    <w:p>
      <w:pPr>
        <w:pStyle w:val="Normal"/>
        <w:numPr>
          <w:ilvl w:val="0"/>
          <w:numId w:val="5"/>
        </w:numPr>
        <w:rPr/>
      </w:pPr>
      <w:r>
        <w:rPr/>
        <w:t xml:space="preserve">Prospectively repeal </w:t>
      </w:r>
      <w:r>
        <w:rPr>
          <w:u w:val="single"/>
        </w:rPr>
        <w:t>mandatory purchase obligation in Public Utility Regulatory Policies Act of 1978 (PURPA).</w:t>
      </w:r>
    </w:p>
    <w:p>
      <w:pPr>
        <w:pStyle w:val="Normal"/>
        <w:numPr>
          <w:ilvl w:val="0"/>
          <w:numId w:val="5"/>
        </w:numPr>
        <w:rPr/>
      </w:pPr>
      <w:r>
        <w:rPr/>
        <w:t xml:space="preserve">Repeal </w:t>
      </w:r>
      <w:r>
        <w:rPr>
          <w:u w:val="single"/>
        </w:rPr>
        <w:t>FERC merger review</w:t>
      </w:r>
      <w:r>
        <w:rPr/>
        <w:t xml:space="preserve"> authority to streamline consideration of mergers by the Department of Justice (DOJ) and the Federal Trade Commission (FTC).</w:t>
      </w:r>
    </w:p>
    <w:p>
      <w:pPr>
        <w:pStyle w:val="Normal"/>
        <w:numPr>
          <w:ilvl w:val="0"/>
          <w:numId w:val="5"/>
        </w:numPr>
        <w:rPr/>
      </w:pPr>
      <w:r>
        <w:rPr/>
        <w:t xml:space="preserve">Repeal </w:t>
      </w:r>
      <w:r>
        <w:rPr>
          <w:u w:val="single"/>
        </w:rPr>
        <w:t>redundant Nuclear Regulatory Commission (NRC) review</w:t>
      </w:r>
      <w:r>
        <w:rPr/>
        <w:t xml:space="preserve"> of utility disposition of nuclear assets.</w:t>
      </w:r>
    </w:p>
    <w:p>
      <w:pPr>
        <w:pStyle w:val="Normal"/>
        <w:rPr/>
      </w:pPr>
      <w:r>
        <w:rPr/>
      </w:r>
    </w:p>
    <w:p>
      <w:pPr>
        <w:pStyle w:val="Heading1"/>
        <w:ind w:hanging="0" w:start="0"/>
        <w:rPr>
          <w:b w:val="false"/>
          <w:bCs w:val="false"/>
        </w:rPr>
      </w:pPr>
      <w:r>
        <w:rPr/>
        <w:t>Transmission Operation</w:t>
      </w:r>
    </w:p>
    <w:p>
      <w:pPr>
        <w:pStyle w:val="Normal"/>
        <w:numPr>
          <w:ilvl w:val="0"/>
          <w:numId w:val="8"/>
        </w:numPr>
        <w:rPr/>
      </w:pPr>
      <w:r>
        <w:rPr/>
        <w:t xml:space="preserve">Require </w:t>
      </w:r>
      <w:r>
        <w:rPr>
          <w:u w:val="single"/>
        </w:rPr>
        <w:t>open access</w:t>
      </w:r>
      <w:r>
        <w:rPr/>
        <w:t xml:space="preserve"> for all transmitting utilities.  Municipals and cooperatives can continue to set their own rates, but FERC must ensure that rates are comparable, consistent with H.R.2944 from the 106th Congress.</w:t>
      </w:r>
    </w:p>
    <w:p>
      <w:pPr>
        <w:pStyle w:val="Normal"/>
        <w:numPr>
          <w:ilvl w:val="0"/>
          <w:numId w:val="8"/>
        </w:numPr>
        <w:rPr/>
      </w:pPr>
      <w:r>
        <w:rPr>
          <w:u w:val="single"/>
        </w:rPr>
        <w:t>Regional Transmission Organization</w:t>
      </w:r>
      <w:r>
        <w:rPr/>
        <w:t xml:space="preserve"> policy to be provided soon.</w:t>
      </w:r>
    </w:p>
    <w:p>
      <w:pPr>
        <w:pStyle w:val="Normal"/>
        <w:numPr>
          <w:ilvl w:val="0"/>
          <w:numId w:val="8"/>
        </w:numPr>
        <w:rPr/>
      </w:pPr>
      <w:r>
        <w:rPr/>
        <w:t>Proposals dealing with j</w:t>
      </w:r>
      <w:r>
        <w:rPr>
          <w:u w:val="single"/>
        </w:rPr>
        <w:t>urisdiction over the transmission component of a bundled retail sale</w:t>
      </w:r>
      <w:r>
        <w:rPr/>
        <w:t xml:space="preserve"> are sought from Members and stakeholders, with the understanding that this issue is closely tied to RTO policy.</w:t>
      </w:r>
    </w:p>
    <w:p>
      <w:pPr>
        <w:pStyle w:val="Normal"/>
        <w:rPr/>
      </w:pPr>
      <w:r>
        <w:rPr/>
      </w:r>
    </w:p>
    <w:p>
      <w:pPr>
        <w:pStyle w:val="Heading1"/>
        <w:ind w:hanging="0" w:start="0"/>
        <w:rPr/>
      </w:pPr>
      <w:r>
        <w:rPr/>
        <w:t>Transmission Reliability</w:t>
      </w:r>
    </w:p>
    <w:p>
      <w:pPr>
        <w:pStyle w:val="Normal"/>
        <w:numPr>
          <w:ilvl w:val="0"/>
          <w:numId w:val="3"/>
        </w:numPr>
        <w:rPr/>
      </w:pPr>
      <w:r>
        <w:rPr/>
        <w:t xml:space="preserve">FERC shall certify an </w:t>
      </w:r>
      <w:r>
        <w:rPr>
          <w:u w:val="single"/>
        </w:rPr>
        <w:t>electric reliability organization or organizations</w:t>
      </w:r>
      <w:r>
        <w:rPr/>
        <w:t xml:space="preserve"> with the ability to develop, implement and enforce reliability standards for the bulk-power system.  </w:t>
      </w:r>
    </w:p>
    <w:p>
      <w:pPr>
        <w:pStyle w:val="Normal"/>
        <w:rPr/>
      </w:pPr>
      <w:r>
        <w:rPr/>
      </w:r>
    </w:p>
    <w:p>
      <w:pPr>
        <w:pStyle w:val="Heading1"/>
        <w:ind w:hanging="0" w:start="0"/>
        <w:rPr/>
      </w:pPr>
      <w:r>
        <w:rPr/>
        <w:t>Transmission Expansion</w:t>
      </w:r>
    </w:p>
    <w:p>
      <w:pPr>
        <w:pStyle w:val="Normal"/>
        <w:numPr>
          <w:ilvl w:val="0"/>
          <w:numId w:val="6"/>
        </w:numPr>
        <w:rPr/>
      </w:pPr>
      <w:r>
        <w:rPr/>
        <w:t xml:space="preserve">FERC must conduct a </w:t>
      </w:r>
      <w:r>
        <w:rPr>
          <w:u w:val="single"/>
        </w:rPr>
        <w:t>rulemaking to establish incentive rate policies</w:t>
      </w:r>
      <w:r>
        <w:rPr/>
        <w:t xml:space="preserve"> and standards to promote expansion and improvement of interstate transmission facilities.</w:t>
      </w:r>
    </w:p>
    <w:p>
      <w:pPr>
        <w:pStyle w:val="Normal"/>
        <w:numPr>
          <w:ilvl w:val="0"/>
          <w:numId w:val="6"/>
        </w:numPr>
        <w:rPr/>
      </w:pPr>
      <w:r>
        <w:rPr/>
        <w:t xml:space="preserve">FERC may extend </w:t>
      </w:r>
      <w:r>
        <w:rPr>
          <w:u w:val="single"/>
        </w:rPr>
        <w:t>eminent domain authority for transmission siting</w:t>
      </w:r>
      <w:r>
        <w:rPr/>
        <w:t xml:space="preserve"> to an applicant seeking to construct transmission, but only if States have not responded within 12 months or rejected a proposal in the public interest.</w:t>
      </w:r>
    </w:p>
    <w:p>
      <w:pPr>
        <w:pStyle w:val="Normal"/>
        <w:rPr/>
      </w:pPr>
      <w:r>
        <w:rPr/>
      </w:r>
    </w:p>
    <w:p>
      <w:pPr>
        <w:pStyle w:val="Heading1"/>
        <w:ind w:hanging="0" w:start="0"/>
        <w:rPr/>
      </w:pPr>
      <w:r>
        <w:rPr/>
        <w:t>Federal Utilities</w:t>
      </w:r>
    </w:p>
    <w:p>
      <w:pPr>
        <w:pStyle w:val="Normal"/>
        <w:numPr>
          <w:ilvl w:val="0"/>
          <w:numId w:val="9"/>
        </w:numPr>
        <w:rPr/>
      </w:pPr>
      <w:r>
        <w:rPr/>
        <w:t xml:space="preserve">The </w:t>
      </w:r>
      <w:r>
        <w:rPr>
          <w:u w:val="single"/>
        </w:rPr>
        <w:t>Tennessee Valley Authority (TVA)</w:t>
      </w:r>
      <w:r>
        <w:rPr/>
        <w:t xml:space="preserve"> “fence” restricting wholesale competition is eliminated.  TVA may only conduct retail sales to certain customers inside the TVA area.  TVA can construct generation only to meet the demands of certain wholesale customers inside the TVA area.  The TVA transmission system is brought under FERC jurisdiction and authorized to participate in an RTO.  TVA is made subject to certain Federal antitrust laws.   </w:t>
      </w:r>
    </w:p>
    <w:p>
      <w:pPr>
        <w:pStyle w:val="Normal"/>
        <w:numPr>
          <w:ilvl w:val="0"/>
          <w:numId w:val="9"/>
        </w:numPr>
        <w:rPr/>
      </w:pPr>
      <w:r>
        <w:rPr/>
        <w:t xml:space="preserve">The </w:t>
      </w:r>
      <w:r>
        <w:rPr>
          <w:u w:val="single"/>
        </w:rPr>
        <w:t>Bonneville Power Administration (BPA</w:t>
      </w:r>
      <w:r>
        <w:rPr/>
        <w:t xml:space="preserve">) transmission system is brought under FERC jurisdiction and authorized to participate in an RTO.  BPA may engage in retail sales only to certain existing customers.  </w:t>
      </w:r>
    </w:p>
    <w:p>
      <w:pPr>
        <w:pStyle w:val="Normal"/>
        <w:numPr>
          <w:ilvl w:val="0"/>
          <w:numId w:val="9"/>
        </w:numPr>
        <w:rPr/>
      </w:pPr>
      <w:r>
        <w:rPr/>
        <w:t xml:space="preserve">Other </w:t>
      </w:r>
      <w:r>
        <w:rPr>
          <w:u w:val="single"/>
        </w:rPr>
        <w:t>Power Marketing Administration (PMAs)</w:t>
      </w:r>
      <w:r>
        <w:rPr/>
        <w:t xml:space="preserve"> must charge the lowest-possible cost-of-service rates for wholesale power.  PMA transmission systems are brought under FERC jurisdiction and authorized to participate in RTOs.  PMAs are made subject to certain Federal antitrust laws.</w:t>
      </w:r>
    </w:p>
    <w:p>
      <w:pPr>
        <w:pStyle w:val="Normal"/>
        <w:rPr>
          <w:b/>
          <w:bCs/>
        </w:rPr>
      </w:pPr>
      <w:r>
        <w:rPr>
          <w:b/>
          <w:bCs/>
        </w:rPr>
      </w:r>
    </w:p>
    <w:p>
      <w:pPr>
        <w:pStyle w:val="Heading1"/>
        <w:ind w:hanging="0" w:start="0"/>
        <w:rPr/>
      </w:pPr>
      <w:r>
        <w:rPr/>
        <w:t>Consumer Protection</w:t>
      </w:r>
    </w:p>
    <w:p>
      <w:pPr>
        <w:pStyle w:val="Normal"/>
        <w:numPr>
          <w:ilvl w:val="0"/>
          <w:numId w:val="4"/>
        </w:numPr>
        <w:rPr/>
      </w:pPr>
      <w:r>
        <w:rPr>
          <w:u w:val="single"/>
        </w:rPr>
        <w:t>Privacy protection</w:t>
      </w:r>
      <w:r>
        <w:rPr/>
        <w:t xml:space="preserve"> rules for electric consumers shall be promulgated by the Federal Trade Commission (FTC).  Consistent State plans would be exempted.</w:t>
      </w:r>
    </w:p>
    <w:p>
      <w:pPr>
        <w:pStyle w:val="Normal"/>
        <w:numPr>
          <w:ilvl w:val="0"/>
          <w:numId w:val="4"/>
        </w:numPr>
        <w:rPr/>
      </w:pPr>
      <w:r>
        <w:rPr>
          <w:u w:val="single"/>
        </w:rPr>
        <w:t>“</w:t>
      </w:r>
      <w:r>
        <w:rPr>
          <w:u w:val="single"/>
        </w:rPr>
        <w:t>Slamming” and “cramming” protection</w:t>
      </w:r>
      <w:r>
        <w:rPr/>
        <w:t xml:space="preserve"> for electric consumers shall be promulgated by the FTC.  Consistent State plans would be exempted.  </w:t>
      </w:r>
    </w:p>
    <w:p>
      <w:pPr>
        <w:pStyle w:val="Normal"/>
        <w:rPr/>
      </w:pPr>
      <w:r>
        <w:rPr/>
      </w:r>
    </w:p>
    <w:p>
      <w:pPr>
        <w:pStyle w:val="Heading1"/>
        <w:ind w:hanging="0" w:start="0"/>
        <w:rPr/>
      </w:pPr>
      <w:r>
        <w:rPr/>
        <w:t>Investigation and Correction of Anticompetitive Conduct</w:t>
      </w:r>
    </w:p>
    <w:p>
      <w:pPr>
        <w:pStyle w:val="Normal"/>
        <w:numPr>
          <w:ilvl w:val="0"/>
          <w:numId w:val="2"/>
        </w:numPr>
        <w:rPr/>
      </w:pPr>
      <w:r>
        <w:rPr/>
        <w:t xml:space="preserve">Provide FERC with </w:t>
      </w:r>
      <w:r>
        <w:rPr>
          <w:u w:val="single"/>
        </w:rPr>
        <w:t>uniform investigation and information-gathering authority</w:t>
      </w:r>
      <w:r>
        <w:rPr/>
        <w:t xml:space="preserve"> over all wholesale sellers of electric energy. </w:t>
      </w:r>
    </w:p>
    <w:p>
      <w:pPr>
        <w:pStyle w:val="Normal"/>
        <w:numPr>
          <w:ilvl w:val="0"/>
          <w:numId w:val="2"/>
        </w:numPr>
        <w:rPr/>
      </w:pPr>
      <w:r>
        <w:rPr/>
        <w:t xml:space="preserve">Provide FERC with </w:t>
      </w:r>
      <w:r>
        <w:rPr>
          <w:u w:val="single"/>
        </w:rPr>
        <w:t>uniform refund authority</w:t>
      </w:r>
      <w:r>
        <w:rPr/>
        <w:t xml:space="preserve"> over all wholesale sellers.</w:t>
      </w:r>
    </w:p>
    <w:p>
      <w:pPr>
        <w:pStyle w:val="Normal"/>
        <w:numPr>
          <w:ilvl w:val="0"/>
          <w:numId w:val="2"/>
        </w:numPr>
        <w:rPr/>
      </w:pPr>
      <w:r>
        <w:rPr/>
        <w:t xml:space="preserve">Increase and expand </w:t>
      </w:r>
      <w:r>
        <w:rPr>
          <w:u w:val="single"/>
        </w:rPr>
        <w:t>criminal and civil penalties</w:t>
      </w:r>
      <w:r>
        <w:rPr/>
        <w:t xml:space="preserve"> for Federal Power Act violations.</w:t>
      </w:r>
    </w:p>
    <w:p>
      <w:pPr>
        <w:pStyle w:val="Normal"/>
        <w:rPr/>
      </w:pPr>
      <w:r>
        <w:rPr/>
      </w:r>
    </w:p>
    <w:p>
      <w:pPr>
        <w:pStyle w:val="Heading1"/>
        <w:ind w:hanging="0" w:start="0"/>
        <w:rPr>
          <w:b w:val="false"/>
          <w:bCs w:val="false"/>
        </w:rPr>
      </w:pPr>
      <w:r>
        <w:rPr/>
        <w:t>Internal Revenue Code Provisions</w:t>
      </w:r>
    </w:p>
    <w:p>
      <w:pPr>
        <w:pStyle w:val="Normal"/>
        <w:numPr>
          <w:ilvl w:val="0"/>
          <w:numId w:val="7"/>
        </w:numPr>
        <w:rPr/>
      </w:pPr>
      <w:r>
        <w:rPr/>
        <w:t xml:space="preserve">Relieve certain municipal utilities from </w:t>
      </w:r>
      <w:r>
        <w:rPr>
          <w:u w:val="single"/>
        </w:rPr>
        <w:t>private-use</w:t>
      </w:r>
      <w:r>
        <w:rPr/>
        <w:t xml:space="preserve"> restrictions in tax-exempt bond financing, consistent with H.R.1459.</w:t>
      </w:r>
    </w:p>
    <w:p>
      <w:pPr>
        <w:pStyle w:val="Normal"/>
        <w:numPr>
          <w:ilvl w:val="0"/>
          <w:numId w:val="7"/>
        </w:numPr>
        <w:rPr/>
      </w:pPr>
      <w:r>
        <w:rPr/>
        <w:t xml:space="preserve">Reform tax treatment of </w:t>
      </w:r>
      <w:r>
        <w:rPr>
          <w:u w:val="single"/>
        </w:rPr>
        <w:t>sale of transmission facilities</w:t>
      </w:r>
      <w:r>
        <w:rPr/>
        <w:t xml:space="preserve"> to join an RTO, form an independent transmission company, or meet FERC or State restructuring requirements, consistent with H.R.1459.</w:t>
      </w:r>
    </w:p>
    <w:p>
      <w:pPr>
        <w:pStyle w:val="Normal"/>
        <w:numPr>
          <w:ilvl w:val="0"/>
          <w:numId w:val="7"/>
        </w:numPr>
        <w:rPr/>
      </w:pPr>
      <w:r>
        <w:rPr/>
        <w:t xml:space="preserve">Reform tax treatment of </w:t>
      </w:r>
      <w:r>
        <w:rPr>
          <w:u w:val="single"/>
        </w:rPr>
        <w:t>contributions in aid of construction (CIAC),</w:t>
      </w:r>
      <w:r>
        <w:rPr/>
        <w:t xml:space="preserve"> consistent with H.R.1459.</w:t>
      </w:r>
    </w:p>
    <w:p>
      <w:pPr>
        <w:pStyle w:val="Normal"/>
        <w:numPr>
          <w:ilvl w:val="0"/>
          <w:numId w:val="7"/>
        </w:numPr>
        <w:rPr/>
      </w:pPr>
      <w:r>
        <w:rPr/>
        <w:t xml:space="preserve">Reform tax treatment of </w:t>
      </w:r>
      <w:r>
        <w:rPr>
          <w:u w:val="single"/>
        </w:rPr>
        <w:t>nuclear decommissioning fund contributions and costs</w:t>
      </w:r>
      <w:r>
        <w:rPr/>
        <w:t>, consistent with H.R.1459.</w:t>
      </w:r>
    </w:p>
    <w:p>
      <w:pPr>
        <w:pStyle w:val="Normal"/>
        <w:numPr>
          <w:ilvl w:val="0"/>
          <w:numId w:val="7"/>
        </w:numPr>
        <w:rPr/>
      </w:pPr>
      <w:r>
        <w:rPr/>
        <w:t xml:space="preserve">Provide rural electric cooperatives relief from </w:t>
      </w:r>
      <w:r>
        <w:rPr>
          <w:u w:val="single"/>
        </w:rPr>
        <w:t>“85-15” business activity rules</w:t>
      </w:r>
      <w:r>
        <w:rPr/>
        <w:t xml:space="preserve"> for certain purposes.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2001-09-26T12:13:00Z</dcterms:created>
  <dc:creator>Andy Black</dc:creator>
  <dc:description/>
  <dc:language>en-CA</dc:language>
  <cp:lastModifiedBy>JSHELK</cp:lastModifiedBy>
  <cp:lastPrinted>2001-09-21T16:34:00Z</cp:lastPrinted>
  <dcterms:modified xsi:type="dcterms:W3CDTF">2001-09-26T12:13:00Z</dcterms:modified>
  <cp:revision>2</cp:revision>
  <dc:subject/>
  <dc:title>Electric Supply and Transmission Act</dc:title>
</cp:coreProperties>
</file>