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4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4"/>
        <w:ind w:hanging="0" w:start="0"/>
        <w:rPr/>
      </w:pPr>
      <w:r>
        <w:rPr>
          <w:sz w:val="24"/>
        </w:rPr>
        <w:t xml:space="preserve">In association with the </w:t>
      </w:r>
      <w:r>
        <w:rPr>
          <w:b/>
          <w:bCs/>
          <w:sz w:val="24"/>
        </w:rPr>
        <w:t>Council of the Americas</w:t>
      </w:r>
      <w:r>
        <w:rPr>
          <w:sz w:val="24"/>
        </w:rPr>
        <w:t xml:space="preserve">, the </w:t>
      </w:r>
      <w:r>
        <w:rPr>
          <w:b/>
          <w:bCs/>
          <w:sz w:val="24"/>
        </w:rPr>
        <w:t>U.S. Council of the</w:t>
        <w:br/>
        <w:t>Mexico-U.S. Business Committee</w:t>
      </w:r>
      <w:r>
        <w:rPr>
          <w:sz w:val="24"/>
        </w:rPr>
        <w:t xml:space="preserve">, and the </w:t>
      </w:r>
      <w:r>
        <w:rPr>
          <w:b/>
          <w:bCs/>
          <w:sz w:val="24"/>
        </w:rPr>
        <w:t>U.S.-Mexico Chamber of Commerce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56"/>
        </w:rPr>
      </w:pPr>
      <w:r>
        <w:rPr>
          <w:rFonts w:cs="Arial" w:ascii="Arial" w:hAnsi="Arial"/>
          <w:b/>
          <w:bCs/>
          <w:sz w:val="56"/>
        </w:rPr>
        <w:t>REMINDER</w:t>
      </w:r>
    </w:p>
    <w:p>
      <w:pPr>
        <w:pStyle w:val="Footer"/>
        <w:tabs>
          <w:tab w:val="clear" w:pos="4320"/>
          <w:tab w:val="clear" w:pos="8640"/>
        </w:tabs>
        <w:spacing w:lineRule="exact" w:line="80"/>
        <w:jc w:val="center"/>
        <w:rPr>
          <w:rFonts w:ascii="Arial" w:hAnsi="Arial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52"/>
          <w:lang w:val="en-CA" w:eastAsia="en-CA"/>
        </w:rPr>
      </w:pPr>
      <w:r>
        <w:rPr>
          <w:rFonts w:cs="Arial" w:ascii="Arial" w:hAnsi="Arial"/>
          <w:b/>
          <w:bCs/>
          <w:sz w:val="52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column">
                  <wp:posOffset>-72390</wp:posOffset>
                </wp:positionH>
                <wp:positionV relativeFrom="paragraph">
                  <wp:posOffset>29210</wp:posOffset>
                </wp:positionV>
                <wp:extent cx="6991350" cy="384937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849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03.1pt;mso-wrap-distance-left:9.05pt;mso-wrap-distance-right:9.05pt;mso-wrap-distance-top:0pt;mso-wrap-distance-bottom:0pt;margin-top:2.3pt;mso-position-vertical-relative:text;margin-left:-5.7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spacing w:lineRule="auto" w:line="240"/>
        <w:ind w:hanging="0" w:start="0"/>
        <w:jc w:val="center"/>
        <w:rPr>
          <w:rFonts w:cs="Arial"/>
          <w:i w:val="false"/>
          <w:i w:val="false"/>
          <w:sz w:val="24"/>
          <w:lang w:val="en-CA" w:eastAsia="en-CA"/>
        </w:rPr>
      </w:pPr>
      <w:r>
        <w:rPr>
          <w:rFonts w:cs="Arial"/>
          <w:i w:val="false"/>
          <w:sz w:val="24"/>
          <w:lang w:val="en-CA" w:eastAsia="en-CA"/>
        </w:rPr>
      </w:r>
    </w:p>
    <w:p>
      <w:pPr>
        <w:pStyle w:val="Heading1"/>
        <w:spacing w:lineRule="auto" w:line="240"/>
        <w:ind w:hanging="0" w:start="0"/>
        <w:jc w:val="center"/>
        <w:rPr>
          <w:b/>
          <w:bCs/>
          <w:i w:val="false"/>
          <w:i w:val="false"/>
          <w:iCs/>
          <w:caps/>
          <w:sz w:val="38"/>
          <w:lang w:val="es-ES_tradnl"/>
        </w:rPr>
      </w:pPr>
      <w:r>
        <w:rPr>
          <w:b/>
          <w:bCs/>
          <w:i w:val="false"/>
          <w:iCs/>
          <w:caps/>
          <w:sz w:val="38"/>
          <w:lang w:val="es-ES_tradnl"/>
        </w:rPr>
        <w:t>FRANCISCO BARRIO TERRAZAS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caps/>
          <w:sz w:val="16"/>
          <w:lang w:val="es-ES_tradnl"/>
        </w:rPr>
      </w:pPr>
      <w:r>
        <w:rPr>
          <w:rFonts w:cs="Arial" w:ascii="Arial" w:hAnsi="Arial"/>
          <w:b/>
          <w:bCs/>
          <w:i/>
          <w:iCs/>
          <w:caps/>
          <w:sz w:val="16"/>
          <w:lang w:val="es-ES_tradnl"/>
        </w:rPr>
      </w:r>
    </w:p>
    <w:p>
      <w:pPr>
        <w:pStyle w:val="Heading7"/>
        <w:spacing w:lineRule="exact" w:line="440"/>
        <w:ind w:hanging="0" w:start="0"/>
        <w:rPr>
          <w:rFonts w:cs="Arial"/>
          <w:bCs/>
          <w:lang w:val="es-ES_tradnl"/>
        </w:rPr>
      </w:pPr>
      <w:r>
        <w:rPr>
          <w:rFonts w:cs="Arial"/>
          <w:bCs/>
          <w:lang w:val="es-ES_tradnl"/>
        </w:rPr>
        <w:t>Comptroller General</w:t>
      </w:r>
    </w:p>
    <w:p>
      <w:pPr>
        <w:pStyle w:val="Normal"/>
        <w:spacing w:lineRule="exact" w:line="440"/>
        <w:jc w:val="center"/>
        <w:rPr>
          <w:rFonts w:ascii="Arial" w:hAnsi="Arial" w:cs="Arial"/>
          <w:b/>
          <w:bCs/>
          <w:sz w:val="30"/>
          <w:lang w:val="es-ES_tradnl"/>
        </w:rPr>
      </w:pPr>
      <w:r>
        <w:rPr>
          <w:rFonts w:cs="Arial" w:ascii="Arial" w:hAnsi="Arial"/>
          <w:b/>
          <w:bCs/>
          <w:sz w:val="30"/>
          <w:lang w:val="es-ES_tradnl"/>
        </w:rPr>
        <w:t>Secretaría de la Contraloría y Desarrollo Administrativo (SECODAM)</w:t>
      </w:r>
    </w:p>
    <w:p>
      <w:pPr>
        <w:pStyle w:val="Heading3"/>
        <w:tabs>
          <w:tab w:val="clear" w:pos="1530"/>
        </w:tabs>
        <w:spacing w:lineRule="exact" w:line="100"/>
        <w:ind w:hanging="0" w:start="0"/>
        <w:rPr>
          <w:rFonts w:ascii="Arial" w:hAnsi="Arial" w:cs="Arial"/>
          <w:b w:val="false"/>
          <w:bCs/>
          <w:sz w:val="16"/>
          <w:lang w:val="es-ES_tradnl"/>
        </w:rPr>
      </w:pPr>
      <w:r>
        <w:rPr>
          <w:rFonts w:cs="Arial"/>
          <w:b w:val="false"/>
          <w:bCs/>
          <w:sz w:val="16"/>
          <w:lang w:val="es-ES_tradnl"/>
        </w:rPr>
      </w:r>
    </w:p>
    <w:p>
      <w:pPr>
        <w:pStyle w:val="Heading3"/>
        <w:tabs>
          <w:tab w:val="clear" w:pos="1530"/>
        </w:tabs>
        <w:ind w:hanging="0" w:start="0"/>
        <w:rPr>
          <w:rFonts w:cs="Arial"/>
          <w:bCs/>
          <w:lang w:val="es-ES_tradnl"/>
        </w:rPr>
      </w:pPr>
      <w:r>
        <w:rPr>
          <w:rFonts w:cs="Arial"/>
          <w:bCs/>
          <w:lang w:val="es-ES_tradnl"/>
        </w:rPr>
        <w:t>Mexico</w:t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28"/>
          <w:lang w:val="es-ES_tradnl"/>
        </w:rPr>
      </w:pPr>
      <w:r>
        <w:rPr>
          <w:rFonts w:cs="Arial" w:ascii="Arial" w:hAnsi="Arial"/>
          <w:b/>
          <w:bCs/>
          <w:smallCaps/>
          <w:sz w:val="28"/>
          <w:lang w:val="es-ES_tradnl"/>
        </w:rPr>
      </w:r>
    </w:p>
    <w:p>
      <w:pPr>
        <w:pStyle w:val="Normal"/>
        <w:spacing w:lineRule="exact" w:line="160"/>
        <w:jc w:val="center"/>
        <w:rPr>
          <w:rFonts w:ascii="Arial" w:hAnsi="Arial" w:cs="Arial"/>
          <w:b/>
          <w:bCs/>
          <w:smallCaps/>
          <w:sz w:val="28"/>
          <w:lang w:val="es-ES_tradnl"/>
        </w:rPr>
      </w:pPr>
      <w:r>
        <w:rPr>
          <w:rFonts w:cs="Arial" w:ascii="Arial" w:hAnsi="Arial"/>
          <w:b/>
          <w:bCs/>
          <w:smallCaps/>
          <w:sz w:val="28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30"/>
          <w:lang w:val="es-ES_tradnl"/>
        </w:rPr>
      </w:pPr>
      <w:r>
        <w:rPr>
          <w:rFonts w:cs="Arial" w:ascii="Arial" w:hAnsi="Arial"/>
          <w:b/>
          <w:bCs/>
          <w:smallCaps/>
          <w:sz w:val="30"/>
          <w:lang w:val="es-ES_tradnl"/>
        </w:rPr>
        <w:t>Mexico: New Strategy for Combatting Corruption</w:t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28"/>
          <w:lang w:val="es-ES_tradnl"/>
        </w:rPr>
      </w:pPr>
      <w:r>
        <w:rPr>
          <w:rFonts w:cs="Arial" w:ascii="Arial" w:hAnsi="Arial"/>
          <w:b/>
          <w:bCs/>
          <w:smallCaps/>
          <w:sz w:val="28"/>
          <w:lang w:val="es-ES_tradnl"/>
        </w:rPr>
      </w:r>
    </w:p>
    <w:p>
      <w:pPr>
        <w:pStyle w:val="Normal"/>
        <w:jc w:val="center"/>
        <w:rPr>
          <w:rFonts w:ascii="Arial" w:hAnsi="Arial" w:cs="Arial"/>
          <w:sz w:val="22"/>
          <w:lang w:val="es-ES_tradnl"/>
        </w:rPr>
      </w:pPr>
      <w:r>
        <w:rPr>
          <w:rFonts w:cs="Arial" w:ascii="Arial" w:hAnsi="Arial"/>
          <w:sz w:val="22"/>
          <w:lang w:val="es-ES_tradnl"/>
        </w:rPr>
        <w:t>Mr. Barrio Terrazas will discuss the Fox Administration’s new strategy for detecting and controlling corruption, establishing punitive and preventative measures, and bringing social awareness to the issue.</w:t>
      </w:r>
    </w:p>
    <w:p>
      <w:pPr>
        <w:pStyle w:val="Normal"/>
        <w:spacing w:lineRule="exact" w:line="40"/>
        <w:rPr>
          <w:rFonts w:ascii="Arial" w:hAnsi="Arial" w:cs="Arial"/>
          <w:b/>
          <w:bCs/>
          <w:sz w:val="18"/>
          <w:lang w:val="es-ES_tradnl"/>
        </w:rPr>
      </w:pPr>
      <w:r>
        <w:rPr>
          <w:rFonts w:cs="Arial" w:ascii="Arial" w:hAnsi="Arial"/>
          <w:b/>
          <w:bCs/>
          <w:sz w:val="18"/>
          <w:lang w:val="es-ES_tradnl"/>
        </w:rPr>
      </w:r>
    </w:p>
    <w:p>
      <w:pPr>
        <w:pStyle w:val="Normal"/>
        <w:spacing w:lineRule="exact" w:line="40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0" w:top="245" w:footer="0" w:bottom="24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Footer"/>
        <w:tabs>
          <w:tab w:val="clear" w:pos="4320"/>
          <w:tab w:val="clear" w:pos="8640"/>
        </w:tabs>
        <w:spacing w:lineRule="exact" w:line="140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Wednesday, June 6, 2001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sectPr>
          <w:type w:val="continuous"/>
          <w:pgSz w:w="12240" w:h="15840"/>
          <w:pgMar w:left="720" w:right="720" w:gutter="0" w:header="0" w:top="245" w:footer="0" w:bottom="245"/>
          <w:formProt w:val="false"/>
          <w:textDirection w:val="lrTb"/>
          <w:docGrid w:type="default" w:linePitch="360" w:charSpace="0"/>
        </w:sectPr>
      </w:pPr>
    </w:p>
    <w:p>
      <w:pPr>
        <w:pStyle w:val="Heading5"/>
        <w:tabs>
          <w:tab w:val="clear" w:pos="1530"/>
        </w:tabs>
        <w:ind w:hanging="0" w:start="0"/>
        <w:rPr>
          <w:rFonts w:cs="Arial"/>
          <w:sz w:val="24"/>
        </w:rPr>
      </w:pPr>
      <w:r>
        <w:rPr>
          <w:rFonts w:cs="Arial"/>
          <w:sz w:val="24"/>
        </w:rPr>
        <w:t>Registration and refreshments: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5:00 – 5:30 p.m.</w:t>
      </w:r>
    </w:p>
    <w:p>
      <w:pPr>
        <w:pStyle w:val="Heading5"/>
        <w:tabs>
          <w:tab w:val="clear" w:pos="1530"/>
        </w:tabs>
        <w:ind w:hanging="0" w:start="0"/>
        <w:rPr>
          <w:sz w:val="24"/>
        </w:rPr>
      </w:pPr>
      <w:r>
        <w:rPr>
          <w:sz w:val="24"/>
        </w:rPr>
        <w:t>Presentation and discussion:</w:t>
      </w:r>
    </w:p>
    <w:p>
      <w:pPr>
        <w:pStyle w:val="BodyText3"/>
        <w:spacing w:lineRule="auto" w:line="312"/>
        <w:jc w:val="center"/>
        <w:rPr>
          <w:sz w:val="24"/>
        </w:rPr>
      </w:pPr>
      <w:r>
        <w:rPr>
          <w:sz w:val="24"/>
        </w:rPr>
        <w:t xml:space="preserve">5:30 – 6:30 p.m. </w:t>
      </w:r>
    </w:p>
    <w:p>
      <w:pPr>
        <w:pStyle w:val="BodyText3"/>
        <w:jc w:val="center"/>
        <w:rPr>
          <w:sz w:val="24"/>
        </w:rPr>
      </w:pPr>
      <w:r>
        <w:rPr>
          <w:sz w:val="24"/>
        </w:rPr>
        <w:t>Americas Society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</w:rPr>
        <w:t>680 Park Avenue (at 68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sectPr>
          <w:type w:val="continuous"/>
          <w:pgSz w:w="12240" w:h="15840"/>
          <w:pgMar w:left="720" w:right="720" w:gutter="0" w:header="0" w:top="245" w:footer="0" w:bottom="245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616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10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Normal"/>
              <w:snapToGrid w:val="false"/>
              <w:spacing w:lineRule="exact" w:line="100"/>
              <w:jc w:val="both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$15 – Americas Society, Council of the Americas, U.S. Council of the Mexico-U.S. Business Committee, and U.S.-Mexico Chamber of Commerce members;      $30 –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– (212) 249-8950, ext. 372 Fax - (212) 517-6247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 - complete registration form and send by fax. By check - after registering by fax or telephone, send check made payable to: </w:t>
            </w:r>
            <w:r>
              <w:rPr>
                <w:rFonts w:cs="Arial" w:ascii="Arial" w:hAnsi="Arial"/>
                <w:b/>
              </w:rPr>
              <w:t>Americas Society;</w:t>
            </w:r>
            <w:r>
              <w:rPr>
                <w:rFonts w:cs="Arial" w:ascii="Arial" w:hAnsi="Arial"/>
                <w:bCs/>
              </w:rPr>
              <w:t xml:space="preserve"> Programs Department; 680 Park Avenue; New York, NY  10021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12:00 noon, Wednesday, June 6,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>Maya Westcott</w:t>
            </w:r>
            <w:r>
              <w:rPr>
                <w:rFonts w:cs="Arial" w:ascii="Arial" w:hAnsi="Arial"/>
              </w:rPr>
              <w:t xml:space="preserve"> - (212) 249-8950, ext. 372   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- </w:t>
            </w:r>
            <w:hyperlink r:id="rId3">
              <w:r>
                <w:rPr>
                  <w:rStyle w:val="Hyperlink"/>
                  <w:rFonts w:cs="Arial" w:ascii="Arial" w:hAnsi="Arial"/>
                  <w:sz w:val="19"/>
                </w:rPr>
                <w:t>http://www.americas-society.org</w:t>
              </w:r>
            </w:hyperlink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10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tabs>
          <w:tab w:val="clear" w:pos="720"/>
          <w:tab w:val="center" w:pos="5673" w:leader="none"/>
        </w:tabs>
        <w:spacing w:lineRule="exact" w:line="40"/>
        <w:ind w:end="-1267"/>
        <w:rPr>
          <w:rFonts w:ascii="Arial" w:hAnsi="Arial" w:eastAsia="Arial" w:cs="Arial"/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51435</wp:posOffset>
                </wp:positionH>
                <wp:positionV relativeFrom="paragraph">
                  <wp:posOffset>-635</wp:posOffset>
                </wp:positionV>
                <wp:extent cx="667512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-0.05pt" to="529.6pt,-0.0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b/>
        </w:rPr>
        <w:t xml:space="preserve">        </w:t>
      </w:r>
    </w:p>
    <w:p>
      <w:pPr>
        <w:pStyle w:val="Heading3"/>
        <w:spacing w:lineRule="exact" w:line="20" w:before="0" w:after="60"/>
        <w:ind w:hanging="0" w:start="0" w:end="-720"/>
        <w:rPr>
          <w:rFonts w:ascii="Arial" w:hAnsi="Arial" w:cs="Arial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Heading3"/>
        <w:spacing w:before="0" w:after="60"/>
        <w:ind w:hanging="0" w:start="0" w:end="-720"/>
        <w:jc w:val="start"/>
        <w:rPr>
          <w:b w:val="false"/>
          <w:sz w:val="20"/>
        </w:rPr>
      </w:pPr>
      <w:r>
        <w:rPr>
          <w:rFonts w:eastAsia="Arial"/>
          <w:sz w:val="20"/>
        </w:rPr>
        <w:t xml:space="preserve">                                </w:t>
      </w:r>
      <w:r>
        <w:rPr>
          <w:sz w:val="20"/>
        </w:rPr>
        <w:t>Francisco Barrio Terrazas: Comptroller General, Mexico  – June 6, 2001</w:t>
      </w:r>
      <w:r>
        <w:rPr>
          <w:b w:val="false"/>
          <w:bCs/>
          <w:sz w:val="20"/>
        </w:rPr>
        <w:t xml:space="preserve">                          (1451223)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spacing w:lineRule="exact" w:line="340"/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exact" w:line="3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exact" w:line="34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spacing w:lineRule="exact" w:line="340"/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340"/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 _____     COA _____    MEXUS _____ USMCC _____     Non-member _____</w:t>
      </w:r>
    </w:p>
    <w:p>
      <w:pPr>
        <w:pStyle w:val="Heading4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/>
          <w:i/>
          <w:sz w:val="20"/>
        </w:rPr>
      </w:r>
    </w:p>
    <w:p>
      <w:pPr>
        <w:pStyle w:val="Heading4"/>
        <w:ind w:hanging="0" w:start="0"/>
        <w:jc w:val="start"/>
        <w:rPr>
          <w:i/>
          <w:i/>
          <w:sz w:val="20"/>
        </w:rPr>
      </w:pPr>
      <w:r>
        <w:rPr>
          <w:i/>
          <w:sz w:val="20"/>
        </w:rPr>
        <w:t>Amount: $ ________    By check ____     Credit card:  American Express ____  Diners ____  MasterCard ____  Visa ____</w:t>
      </w:r>
    </w:p>
    <w:p>
      <w:pPr>
        <w:pStyle w:val="Footer"/>
        <w:tabs>
          <w:tab w:val="clear" w:pos="4320"/>
          <w:tab w:val="clear" w:pos="8640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spacing w:lineRule="auto" w:line="240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0" w:top="245" w:footer="0" w:bottom="24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hanging="547" w:end="0"/>
      <w:jc w:val="center"/>
      <w:rPr>
        <w:rFonts w:ascii="Arial" w:hAnsi="Arial" w:cs="Arial"/>
        <w:spacing w:val="-20"/>
        <w:sz w:val="24"/>
      </w:rPr>
    </w:pPr>
    <w:r>
      <w:rPr/>
      <w:object w:dxaOrig="1183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0.65pt;height:60.1pt" filled="f" o:ole="">
          <v:imagedata r:id="rId2" o:title=""/>
        </v:shape>
        <o:OLEObject Type="Embed" ProgID="" ShapeID="ole_rId1" DrawAspect="Content" ObjectID="_365635169" r:id="rId1"/>
      </w:object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3705225</wp:posOffset>
              </wp:positionH>
              <wp:positionV relativeFrom="paragraph">
                <wp:posOffset>-227965</wp:posOffset>
              </wp:positionV>
              <wp:extent cx="371475" cy="14605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>
                              <w:rFonts w:ascii="Century Gothic" w:hAnsi="Century Gothic" w:cs="Century Gothic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11.5pt;mso-wrap-distance-left:9.35pt;mso-wrap-distance-right:9.35pt;mso-wrap-distance-top:0pt;mso-wrap-distance-bottom:0pt;margin-top:-17.95pt;mso-position-vertical-relative:text;margin-left:291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>
                        <w:rFonts w:ascii="Century Gothic" w:hAnsi="Century Gothic" w:cs="Century Gothic"/>
                      </w:rPr>
                    </w:pPr>
                    <w:r>
                      <w:rPr>
                        <w:rFonts w:cs="Century Gothic" w:ascii="Century Gothic" w:hAnsi="Century Gothic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>
        <w:rFonts w:ascii="Arial" w:hAnsi="Arial" w:eastAsia="Arial" w:cs="Arial"/>
        <w:sz w:val="22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249-8950   FAX: (212) 517-6247   website - http://www.americas-society.org</w: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americas-society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2001-06-01T18:23:00Z</dcterms:created>
  <dc:creator>Victor Montanez</dc:creator>
  <dc:description/>
  <dc:language>en-CA</dc:language>
  <cp:lastModifiedBy>Americas Society, Inc.</cp:lastModifiedBy>
  <cp:lastPrinted>2001-05-23T16:44:00Z</cp:lastPrinted>
  <dcterms:modified xsi:type="dcterms:W3CDTF">2001-06-01T18:23:00Z</dcterms:modified>
  <cp:revision>2</cp:revision>
  <dc:subject/>
  <dc:title>EMERGING MARKETS: </dc:title>
</cp:coreProperties>
</file>