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SECOND AMENDMENT TO MASTER ENERGY PRICE SWAP AGREEMENT</w:t>
      </w:r>
    </w:p>
    <w:p>
      <w:pPr>
        <w:pStyle w:val="Normal"/>
        <w:rPr>
          <w:sz w:val="22"/>
        </w:rPr>
      </w:pPr>
      <w:r>
        <w:rPr>
          <w:sz w:val="22"/>
        </w:rPr>
      </w:r>
    </w:p>
    <w:p>
      <w:pPr>
        <w:pStyle w:val="Normal"/>
        <w:jc w:val="both"/>
        <w:rPr>
          <w:sz w:val="22"/>
        </w:rPr>
      </w:pPr>
      <w:r>
        <w:rPr>
          <w:sz w:val="22"/>
        </w:rPr>
        <w:tab/>
        <w:t>This Second Amendment (the “Second Amendment”) to Master Energy Price Swap Agreement dated effective as of July 1, 2000 (the “Effective Date”), is made and entered into by and between Barrett Resources Corporation (“Counterparty”) and Enron North America Corp. ((f/k/a Enron Risk Management Services Corp. (“ENA”)).</w:t>
      </w:r>
    </w:p>
    <w:p>
      <w:pPr>
        <w:pStyle w:val="Normal"/>
        <w:jc w:val="both"/>
        <w:rPr>
          <w:sz w:val="22"/>
        </w:rPr>
      </w:pPr>
      <w:r>
        <w:rPr>
          <w:sz w:val="22"/>
        </w:rPr>
      </w:r>
    </w:p>
    <w:p>
      <w:pPr>
        <w:pStyle w:val="Normal"/>
        <w:jc w:val="both"/>
        <w:rPr>
          <w:sz w:val="22"/>
        </w:rPr>
      </w:pPr>
      <w:r>
        <w:rPr>
          <w:sz w:val="22"/>
        </w:rPr>
        <w:tab/>
        <w:t>WHEREAS, Counterparty and ENA entered into that certain Master Energy Price Swap Agreement dated as of February 1, 1993, as amended (together with any and all amendment and modifications thereof, the “Master Agreement”);</w:t>
      </w:r>
    </w:p>
    <w:p>
      <w:pPr>
        <w:pStyle w:val="Normal"/>
        <w:jc w:val="both"/>
        <w:rPr>
          <w:sz w:val="22"/>
        </w:rPr>
      </w:pPr>
      <w:r>
        <w:rPr>
          <w:sz w:val="22"/>
        </w:rPr>
      </w:r>
    </w:p>
    <w:p>
      <w:pPr>
        <w:pStyle w:val="Normal"/>
        <w:jc w:val="both"/>
        <w:rPr>
          <w:sz w:val="22"/>
        </w:rPr>
      </w:pPr>
      <w:r>
        <w:rPr>
          <w:sz w:val="22"/>
        </w:rPr>
        <w:tab/>
        <w:t>WHEREAS, the parties hereto desire to, among other things,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w:t>
        <w:tab/>
        <w:t>The Master Agreement is hereby amended as follows:</w:t>
      </w:r>
    </w:p>
    <w:p>
      <w:pPr>
        <w:pStyle w:val="Normal"/>
        <w:jc w:val="both"/>
        <w:rPr>
          <w:sz w:val="22"/>
        </w:rPr>
      </w:pPr>
      <w:r>
        <w:rPr>
          <w:sz w:val="22"/>
        </w:rPr>
      </w:r>
    </w:p>
    <w:p>
      <w:pPr>
        <w:pStyle w:val="Normal"/>
        <w:jc w:val="both"/>
        <w:rPr>
          <w:sz w:val="22"/>
        </w:rPr>
      </w:pPr>
      <w:r>
        <w:rPr>
          <w:sz w:val="22"/>
        </w:rPr>
        <w:t>1.</w:t>
        <w:tab/>
        <w:t xml:space="preserve"> The defined term “Material Adverse Change” in Section 1 is hereby amended to read in its entirety as follows:</w:t>
      </w:r>
    </w:p>
    <w:p>
      <w:pPr>
        <w:pStyle w:val="Normal"/>
        <w:jc w:val="both"/>
        <w:rPr>
          <w:sz w:val="22"/>
        </w:rPr>
      </w:pPr>
      <w:r>
        <w:rPr>
          <w:sz w:val="22"/>
        </w:rPr>
      </w:r>
    </w:p>
    <w:p>
      <w:pPr>
        <w:pStyle w:val="BodyTextIndent3"/>
        <w:rPr/>
      </w:pPr>
      <w:r>
        <w:rPr/>
        <w:t>“”</w:t>
      </w:r>
      <w:r>
        <w:rPr>
          <w:b/>
          <w:bCs/>
          <w:i/>
          <w:iCs/>
        </w:rPr>
        <w:t>Material Adverse Change</w:t>
      </w:r>
      <w:r>
        <w:rPr/>
        <w:t xml:space="preserve">” shall mean (a) with respect to Counterparty, its Credit Rating is rated below BB by S&amp;P or if it fails to have a Credit Rating from S&amp;P and (b) with respect to ERMS, if ERMS’ ultimate parent, Enron Corp.’s Credit Rating is below BBB- by S&amp;P or if it fails to have a Credit Rating from S&amp;P.” </w:t>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2.</w:t>
        <w:tab/>
        <w:t>Section 1 is hereby amended to add thereto the following defined terms:</w:t>
      </w:r>
    </w:p>
    <w:p>
      <w:pPr>
        <w:pStyle w:val="Normal"/>
        <w:ind w:start="360" w:end="0"/>
        <w:jc w:val="both"/>
        <w:rPr>
          <w:rFonts w:ascii="Times New Roman" w:hAnsi="Times New Roman" w:cs="Times New Roman"/>
          <w:sz w:val="22"/>
        </w:rPr>
      </w:pPr>
      <w:r>
        <w:rPr>
          <w:rFonts w:cs="Times New Roman"/>
          <w:sz w:val="22"/>
        </w:rPr>
      </w:r>
    </w:p>
    <w:p>
      <w:pPr>
        <w:pStyle w:val="Normal"/>
        <w:ind w:firstLine="360" w:start="360" w:end="0"/>
        <w:jc w:val="both"/>
        <w:rPr/>
      </w:pPr>
      <w:r>
        <w:rPr>
          <w:bCs/>
          <w:sz w:val="22"/>
        </w:rPr>
        <w:t>“</w:t>
      </w:r>
      <w:r>
        <w:rPr>
          <w:b/>
          <w:i/>
          <w:iCs/>
          <w:sz w:val="22"/>
        </w:rPr>
        <w:t>“</w:t>
      </w:r>
      <w:r>
        <w:rPr>
          <w:b/>
          <w:i/>
          <w:iCs/>
          <w:sz w:val="22"/>
        </w:rPr>
        <w:t>Credit Rating”</w:t>
      </w:r>
      <w:r>
        <w:rPr>
          <w:sz w:val="22"/>
        </w:rPr>
        <w:t xml:space="preserve">  shall have the meaning set forth in Annex A attached hereto.</w:t>
      </w:r>
    </w:p>
    <w:p>
      <w:pPr>
        <w:pStyle w:val="Normal"/>
        <w:ind w:firstLine="360" w:start="360" w:end="0"/>
        <w:jc w:val="both"/>
        <w:rPr>
          <w:b/>
          <w:i/>
          <w:i/>
          <w:iCs/>
          <w:sz w:val="22"/>
        </w:rPr>
      </w:pPr>
      <w:r>
        <w:rPr>
          <w:b/>
          <w:i/>
          <w:iCs/>
          <w:sz w:val="22"/>
        </w:rPr>
      </w:r>
    </w:p>
    <w:p>
      <w:pPr>
        <w:pStyle w:val="Normal"/>
        <w:ind w:firstLine="360" w:start="360" w:end="0"/>
        <w:jc w:val="both"/>
        <w:rPr/>
      </w:pPr>
      <w:r>
        <w:rPr>
          <w:b/>
          <w:i/>
          <w:iCs/>
          <w:sz w:val="22"/>
        </w:rPr>
        <w:t>“</w:t>
      </w:r>
      <w:r>
        <w:rPr>
          <w:b/>
          <w:i/>
          <w:iCs/>
          <w:sz w:val="22"/>
        </w:rPr>
        <w:t>Lien”</w:t>
      </w:r>
      <w:r>
        <w:rPr>
          <w:b/>
          <w:sz w:val="22"/>
        </w:rPr>
        <w:t xml:space="preserve"> </w:t>
      </w:r>
      <w:r>
        <w:rPr>
          <w:bCs/>
          <w:sz w:val="22"/>
        </w:rPr>
        <w:t>means, collectively, any mortgage, pledge, security interest, encumbrance, lien or charge of any kind (whether voluntary or involuntary and whether imposed or created by operation of law or otherwise, including any agreement to give any of the foregoing, any conditional sale or other title retention agreement or any lease in the nature thereof).</w:t>
      </w:r>
      <w:r>
        <w:rPr>
          <w:b/>
          <w:sz w:val="22"/>
        </w:rPr>
        <w:t xml:space="preserve"> </w:t>
      </w:r>
    </w:p>
    <w:p>
      <w:pPr>
        <w:pStyle w:val="Normal"/>
        <w:ind w:firstLine="360" w:end="0"/>
        <w:jc w:val="both"/>
        <w:rPr>
          <w:b/>
          <w:sz w:val="22"/>
        </w:rPr>
      </w:pPr>
      <w:r>
        <w:rPr>
          <w:b/>
          <w:sz w:val="22"/>
        </w:rPr>
      </w:r>
    </w:p>
    <w:p>
      <w:pPr>
        <w:pStyle w:val="Normal"/>
        <w:ind w:firstLine="360" w:start="360" w:end="0"/>
        <w:jc w:val="both"/>
        <w:rPr/>
      </w:pPr>
      <w:r>
        <w:rPr>
          <w:b/>
          <w:i/>
          <w:iCs/>
          <w:sz w:val="22"/>
        </w:rPr>
        <w:t>“</w:t>
      </w:r>
      <w:r>
        <w:rPr>
          <w:b/>
          <w:i/>
          <w:iCs/>
          <w:sz w:val="22"/>
        </w:rPr>
        <w:t>S&amp;P”</w:t>
      </w:r>
      <w:r>
        <w:rPr>
          <w:sz w:val="22"/>
        </w:rPr>
        <w:t xml:space="preserve">  shall have the meaning set forth in Annex A attached hereto.”</w:t>
      </w:r>
    </w:p>
    <w:p>
      <w:pPr>
        <w:pStyle w:val="Normal"/>
        <w:ind w:start="360" w:end="0"/>
        <w:jc w:val="both"/>
        <w:rPr>
          <w:b/>
          <w:i/>
          <w:i/>
          <w:iCs/>
          <w:sz w:val="22"/>
        </w:rPr>
      </w:pPr>
      <w:r>
        <w:rPr>
          <w:b/>
          <w:i/>
          <w:iCs/>
          <w:sz w:val="22"/>
        </w:rPr>
      </w:r>
    </w:p>
    <w:p>
      <w:pPr>
        <w:pStyle w:val="Normal"/>
        <w:jc w:val="both"/>
        <w:rPr>
          <w:b/>
          <w:i/>
          <w:i/>
          <w:iCs/>
          <w:sz w:val="22"/>
        </w:rPr>
      </w:pPr>
      <w:r>
        <w:rPr>
          <w:b/>
          <w:i/>
          <w:iCs/>
          <w:sz w:val="22"/>
        </w:rPr>
      </w:r>
    </w:p>
    <w:p>
      <w:pPr>
        <w:pStyle w:val="Normal"/>
        <w:jc w:val="both"/>
        <w:rPr>
          <w:sz w:val="22"/>
        </w:rPr>
      </w:pPr>
      <w:r>
        <w:rPr>
          <w:sz w:val="22"/>
        </w:rPr>
        <w:t>3.</w:t>
        <w:tab/>
        <w:t>Section 5 is hereby amended to add a new subsection (M), which shall read in its entirety as follows:</w:t>
      </w:r>
    </w:p>
    <w:p>
      <w:pPr>
        <w:pStyle w:val="Normal"/>
        <w:jc w:val="both"/>
        <w:rPr>
          <w:sz w:val="22"/>
        </w:rPr>
      </w:pPr>
      <w:r>
        <w:rPr>
          <w:sz w:val="22"/>
        </w:rPr>
      </w:r>
    </w:p>
    <w:p>
      <w:pPr>
        <w:pStyle w:val="Normal"/>
        <w:jc w:val="both"/>
        <w:rPr>
          <w:sz w:val="22"/>
        </w:rPr>
      </w:pPr>
      <w:r>
        <w:rPr>
          <w:sz w:val="22"/>
        </w:rPr>
      </w:r>
    </w:p>
    <w:p>
      <w:pPr>
        <w:pStyle w:val="BodyTextIndent3"/>
        <w:rPr/>
      </w:pPr>
      <w:r>
        <w:rPr/>
        <w:t>“</w:t>
      </w:r>
      <w:r>
        <w:rPr/>
        <w:t>M.</w:t>
        <w:tab/>
        <w:t xml:space="preserve">solely with respect to Counterparty, it has good and marketable title to its assets constituting real property and good and indefeasible title to its other assets, subject to no Liens.”  </w:t>
        <w:tab/>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4.</w:t>
        <w:tab/>
        <w:t>Section 7A is hereby amended to add a new subsection (ix) which shall read in its entirety as follows:</w:t>
      </w:r>
    </w:p>
    <w:p>
      <w:pPr>
        <w:pStyle w:val="Heading2"/>
        <w:ind w:hanging="0" w:start="720" w:end="0"/>
        <w:rPr/>
      </w:pPr>
      <w:r>
        <w:rPr>
          <w:rFonts w:cs="Times New Roman" w:ascii="Times New Roman" w:hAnsi="Times New Roman"/>
          <w:b w:val="false"/>
          <w:bCs/>
          <w:i w:val="false"/>
          <w:iCs/>
          <w:sz w:val="22"/>
        </w:rPr>
        <w:t>“</w:t>
      </w:r>
      <w:r>
        <w:rPr>
          <w:rFonts w:cs="Times New Roman" w:ascii="Times New Roman" w:hAnsi="Times New Roman"/>
          <w:b w:val="false"/>
          <w:bCs/>
          <w:i w:val="false"/>
          <w:iCs/>
          <w:sz w:val="22"/>
        </w:rPr>
        <w:t>(ix)</w:t>
        <w:tab/>
        <w:t xml:space="preserve">with respect to Counterparty only, if any of its assets, real or personal, become subject to a Lien, other than any Lien in favor of ERMS.” </w:t>
      </w:r>
      <w:r>
        <w:rPr>
          <w:rFonts w:cs="Times New Roman" w:ascii="Times New Roman" w:hAnsi="Times New Roman"/>
          <w:b w:val="false"/>
          <w:i w:val="false"/>
          <w:sz w:val="22"/>
        </w:rPr>
        <w:tab/>
      </w:r>
    </w:p>
    <w:p>
      <w:pPr>
        <w:pStyle w:val="Normal"/>
        <w:rPr>
          <w:rFonts w:ascii="Times New Roman" w:hAnsi="Times New Roman" w:cs="Times New Roman"/>
          <w:b/>
          <w:i/>
          <w:i/>
          <w:sz w:val="22"/>
        </w:rPr>
      </w:pPr>
      <w:r>
        <w:rPr>
          <w:rFonts w:cs="Times New Roman"/>
          <w:b/>
          <w:i/>
          <w:sz w:val="22"/>
        </w:rPr>
      </w:r>
    </w:p>
    <w:p>
      <w:pPr>
        <w:pStyle w:val="Justified"/>
        <w:widowControl/>
        <w:spacing w:before="0" w:after="0"/>
        <w:rPr>
          <w:rFonts w:ascii="Times New Roman" w:hAnsi="Times New Roman" w:cs="Times New Roman"/>
        </w:rPr>
      </w:pPr>
      <w:r>
        <w:rPr>
          <w:rFonts w:cs="Times New Roman" w:ascii="Times New Roman" w:hAnsi="Times New Roman"/>
        </w:rPr>
        <w:t>B.</w:t>
        <w:tab/>
        <w:t>Annex A to the Master Agreement is hereby amended as follows:</w:t>
      </w:r>
    </w:p>
    <w:p>
      <w:pPr>
        <w:pStyle w:val="Heading2"/>
        <w:ind w:hanging="0" w:start="0"/>
        <w:jc w:val="both"/>
        <w:rPr>
          <w:rFonts w:ascii="Times New Roman" w:hAnsi="Times New Roman" w:cs="Times New Roman"/>
          <w:b w:val="false"/>
          <w:bCs/>
          <w:i w:val="false"/>
          <w:i w:val="false"/>
          <w:iCs/>
          <w:sz w:val="22"/>
        </w:rPr>
      </w:pPr>
      <w:r>
        <w:rPr>
          <w:rFonts w:cs="Times New Roman" w:ascii="Times New Roman" w:hAnsi="Times New Roman"/>
          <w:b w:val="false"/>
          <w:bCs/>
          <w:i w:val="false"/>
          <w:iCs/>
          <w:sz w:val="22"/>
        </w:rPr>
        <w:t>1.</w:t>
        <w:tab/>
        <w:t>The defined term “Exposure Threshold” in Section 1 of Annex A is hereby amended to read in its entirety as follows:</w:t>
      </w:r>
    </w:p>
    <w:p>
      <w:pPr>
        <w:pStyle w:val="Normal"/>
        <w:rPr>
          <w:rFonts w:ascii="Times New Roman" w:hAnsi="Times New Roman" w:cs="Times New Roman"/>
          <w:b/>
          <w:bCs/>
          <w:i/>
          <w:i/>
          <w:iCs/>
          <w:sz w:val="22"/>
        </w:rPr>
      </w:pPr>
      <w:r>
        <w:rPr>
          <w:rFonts w:cs="Times New Roman"/>
          <w:b/>
          <w:bCs/>
          <w:i/>
          <w:iCs/>
          <w:sz w:val="22"/>
        </w:rPr>
      </w:r>
    </w:p>
    <w:p>
      <w:pPr>
        <w:pStyle w:val="Normal"/>
        <w:ind w:hanging="90" w:start="720" w:end="0"/>
        <w:jc w:val="both"/>
        <w:rPr/>
      </w:pPr>
      <w:r>
        <w:rPr/>
        <w:tab/>
      </w:r>
      <w:r>
        <w:rPr>
          <w:sz w:val="22"/>
        </w:rPr>
        <w:t xml:space="preserve">“”Exposure Threshold” shall mean, (i) with respect to ERMS, $15,000,000 and (ii) with respect to Counterparty, (y) until the termination (however it may occur) of both of the trades described on Schedule I attached hereto (collectively, the “Exempt Transactions”), $5,000,000 and (z) after such termination, $15,000,000; </w:t>
      </w:r>
      <w:r>
        <w:rPr>
          <w:sz w:val="22"/>
          <w:u w:val="single"/>
        </w:rPr>
        <w:t>provided, however</w:t>
      </w:r>
      <w:r>
        <w:rPr>
          <w:sz w:val="22"/>
        </w:rPr>
        <w:t>, that the Exposure Threshold for a party shall be zero upon the occurrence and during the continuance of an Event of Default or a Material Adverse Change with respect to such party.”</w:t>
      </w:r>
    </w:p>
    <w:p>
      <w:pPr>
        <w:pStyle w:val="Normal"/>
        <w:jc w:val="both"/>
        <w:rPr>
          <w:sz w:val="22"/>
        </w:rPr>
      </w:pPr>
      <w:r>
        <w:rPr>
          <w:sz w:val="22"/>
        </w:rPr>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2.</w:t>
        <w:tab/>
        <w:t>The first sentence of Section II(a) of Annex A is hereby amended to read in its entirety as follows:</w:t>
      </w:r>
    </w:p>
    <w:p>
      <w:pPr>
        <w:pStyle w:val="Normal"/>
        <w:jc w:val="both"/>
        <w:rPr>
          <w:rFonts w:ascii="Times New Roman" w:hAnsi="Times New Roman" w:cs="Times New Roman"/>
          <w:sz w:val="22"/>
        </w:rPr>
      </w:pPr>
      <w:r>
        <w:rPr>
          <w:rFonts w:cs="Times New Roman"/>
          <w:sz w:val="22"/>
        </w:rPr>
      </w:r>
    </w:p>
    <w:p>
      <w:pPr>
        <w:pStyle w:val="Normal"/>
        <w:ind w:start="720" w:end="0"/>
        <w:jc w:val="both"/>
        <w:rPr/>
      </w:pPr>
      <w:r>
        <w:rPr>
          <w:sz w:val="22"/>
        </w:rPr>
        <w:t xml:space="preserve"> </w:t>
      </w:r>
      <w:r>
        <w:rPr>
          <w:sz w:val="22"/>
        </w:rPr>
        <w:tab/>
        <w:t xml:space="preserve">“The </w:t>
      </w:r>
      <w:r>
        <w:rPr>
          <w:sz w:val="22"/>
          <w:u w:val="single"/>
        </w:rPr>
        <w:t>“Exposure Amount</w:t>
      </w:r>
      <w:r>
        <w:rPr>
          <w:sz w:val="22"/>
        </w:rPr>
        <w:t xml:space="preserve">”  for each party shall be calculated for the total of all outstanding Transactions, by calculating each party’s Exposure to the other party in respect of each Transaction and totaling the Exposures for each such party; </w:t>
      </w:r>
      <w:r>
        <w:rPr>
          <w:sz w:val="22"/>
          <w:u w:val="single"/>
        </w:rPr>
        <w:t>provided, however</w:t>
      </w:r>
      <w:r>
        <w:rPr>
          <w:sz w:val="22"/>
        </w:rPr>
        <w:t>, that, for purposes of calculating ERMS’ Exposure Amount, so long as no Event of Default or Material Adverse Change has occurred or is continuing with respect to Counterparty, the Exempt Transactions shall not be included.”</w:t>
      </w:r>
    </w:p>
    <w:p>
      <w:pPr>
        <w:pStyle w:val="Normal"/>
        <w:jc w:val="both"/>
        <w:rPr>
          <w:sz w:val="22"/>
        </w:rPr>
      </w:pPr>
      <w:r>
        <w:rPr>
          <w:sz w:val="22"/>
        </w:rPr>
      </w:r>
    </w:p>
    <w:p>
      <w:pPr>
        <w:pStyle w:val="Normal"/>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3.</w:t>
        <w:tab/>
        <w:t>Annex A is hereby amended to add thereto a Schedule I which shall be in the form of Schedule I attached to this Second Amendment.</w:t>
      </w:r>
    </w:p>
    <w:p>
      <w:pPr>
        <w:pStyle w:val="Normal"/>
        <w:ind w:start="360" w:end="0"/>
        <w:jc w:val="both"/>
        <w:rPr>
          <w:sz w:val="22"/>
        </w:rPr>
      </w:pPr>
      <w:r>
        <w:rPr>
          <w:sz w:val="22"/>
        </w:rPr>
        <w:t xml:space="preserve"> </w:t>
      </w:r>
    </w:p>
    <w:p>
      <w:pPr>
        <w:pStyle w:val="Normal"/>
        <w:jc w:val="both"/>
        <w:rPr>
          <w:sz w:val="22"/>
        </w:rPr>
      </w:pPr>
      <w:r>
        <w:rPr>
          <w:sz w:val="22"/>
        </w:rPr>
      </w:r>
    </w:p>
    <w:p>
      <w:pPr>
        <w:pStyle w:val="Justified"/>
        <w:widowControl/>
        <w:tabs>
          <w:tab w:val="clear" w:pos="720"/>
          <w:tab w:val="left" w:pos="180" w:leader="none"/>
        </w:tabs>
        <w:spacing w:before="0" w:after="0"/>
        <w:rPr>
          <w:rFonts w:ascii="Times New Roman" w:hAnsi="Times New Roman" w:cs="Times New Roman"/>
        </w:rPr>
      </w:pPr>
      <w:r>
        <w:rPr>
          <w:rFonts w:cs="Times New Roman" w:ascii="Times New Roman" w:hAnsi="Times New Roman"/>
        </w:rPr>
        <w:t>C.</w:t>
        <w:tab/>
        <w:t>The Confirmations that have been executed in connection with the Exempt Transactions are hereby amended as follows:</w:t>
      </w:r>
    </w:p>
    <w:p>
      <w:pPr>
        <w:pStyle w:val="Heading2"/>
        <w:ind w:hanging="0" w:start="0"/>
        <w:rPr>
          <w:rFonts w:ascii="Times New Roman" w:hAnsi="Times New Roman" w:cs="Times New Roman"/>
        </w:rPr>
      </w:pPr>
      <w:r>
        <w:rPr>
          <w:rFonts w:cs="Times New Roman" w:ascii="Times New Roman" w:hAnsi="Times New Roman"/>
        </w:rPr>
      </w:r>
    </w:p>
    <w:p>
      <w:pPr>
        <w:pStyle w:val="BodyText"/>
        <w:jc w:val="both"/>
        <w:rPr/>
      </w:pPr>
      <w:r>
        <w:rPr/>
        <w:t>1.</w:t>
        <w:tab/>
        <w:t>The “Fixed Price” set forth in the Confirmation for the first Exempt Transaction described on Schedule I attached hereto shall be changed from “$1.7500” to “$1.7100”.  The “Fixed Price” set forth in the Confirmation for the second Exempt Transaction set forth on Schedule I attached hereto shall be changed from “$1.7150” to “1.6750”.</w:t>
      </w:r>
    </w:p>
    <w:p>
      <w:pPr>
        <w:pStyle w:val="Normal"/>
        <w:jc w:val="both"/>
        <w:rPr>
          <w:sz w:val="22"/>
        </w:rPr>
      </w:pPr>
      <w:r>
        <w:rPr>
          <w:sz w:val="22"/>
        </w:rPr>
      </w:r>
    </w:p>
    <w:p>
      <w:pPr>
        <w:pStyle w:val="Normal"/>
        <w:rPr>
          <w:sz w:val="22"/>
        </w:rPr>
      </w:pPr>
      <w:r>
        <w:rPr>
          <w:sz w:val="22"/>
        </w:rPr>
      </w:r>
    </w:p>
    <w:p>
      <w:pPr>
        <w:pStyle w:val="Normal"/>
        <w:rPr>
          <w:sz w:val="22"/>
        </w:rPr>
      </w:pPr>
      <w:r>
        <w:rPr>
          <w:sz w:val="22"/>
        </w:rPr>
      </w:r>
    </w:p>
    <w:p>
      <w:pPr>
        <w:pStyle w:val="Heading4"/>
        <w:ind w:hanging="0" w:start="0"/>
        <w:rPr/>
      </w:pPr>
      <w:r>
        <w:rPr/>
        <w:t>II. CONDITIONS PRECEDENT</w:t>
      </w:r>
    </w:p>
    <w:p>
      <w:pPr>
        <w:pStyle w:val="Normal"/>
        <w:rPr/>
      </w:pPr>
      <w:r>
        <w:rPr/>
      </w:r>
    </w:p>
    <w:p>
      <w:pPr>
        <w:pStyle w:val="Normal"/>
        <w:rPr/>
      </w:pPr>
      <w:r>
        <w:rPr/>
      </w:r>
    </w:p>
    <w:p>
      <w:pPr>
        <w:pStyle w:val="Normal"/>
        <w:jc w:val="both"/>
        <w:rPr/>
      </w:pPr>
      <w:r>
        <w:rPr/>
        <w:tab/>
      </w:r>
      <w:r>
        <w:rPr>
          <w:sz w:val="22"/>
        </w:rPr>
        <w:t xml:space="preserve">This Second Amendment shall become effective as of the Effective Date set forth herein upon the later to occur of (i) both party’s execution of this Second Amendment and (ii) Counterparty’s assignment of all of its right, title, interest and obligations with respect to the Transactions described on Schedule II attached hereto to an assignee that is acceptable to ENA and pursuant to an assignment agreement among Counterparty, ENA and such assignee that is acceptable to ENA.   </w:t>
      </w:r>
    </w:p>
    <w:p>
      <w:pPr>
        <w:pStyle w:val="Normal"/>
        <w:keepNext w:val="true"/>
        <w:jc w:val="center"/>
        <w:rPr>
          <w:b/>
          <w:sz w:val="22"/>
        </w:rPr>
      </w:pPr>
      <w:r>
        <w:rPr>
          <w:b/>
          <w:sz w:val="22"/>
        </w:rPr>
      </w:r>
    </w:p>
    <w:p>
      <w:pPr>
        <w:pStyle w:val="Normal"/>
        <w:keepNext w:val="true"/>
        <w:jc w:val="center"/>
        <w:rPr>
          <w:b/>
          <w:sz w:val="22"/>
        </w:rPr>
      </w:pPr>
      <w:r>
        <w:rPr>
          <w:b/>
          <w:sz w:val="22"/>
        </w:rPr>
      </w:r>
    </w:p>
    <w:p>
      <w:pPr>
        <w:pStyle w:val="Normal"/>
        <w:keepNext w:val="true"/>
        <w:jc w:val="center"/>
        <w:rPr>
          <w:sz w:val="22"/>
        </w:rPr>
      </w:pPr>
      <w:r>
        <w:rPr>
          <w:b/>
          <w:sz w:val="22"/>
        </w:rPr>
        <w:t xml:space="preserve">III.  </w:t>
      </w:r>
      <w:r>
        <w:rPr>
          <w:b/>
          <w:sz w:val="22"/>
          <w:u w:val="single"/>
        </w:rPr>
        <w:t>MISCELLANEOUS</w:t>
      </w:r>
    </w:p>
    <w:p>
      <w:pPr>
        <w:pStyle w:val="Justified"/>
        <w:widowControl/>
        <w:spacing w:before="0" w:after="0"/>
        <w:ind w:firstLine="720" w:end="0"/>
        <w:rPr>
          <w:rFonts w:ascii="Times New Roman" w:hAnsi="Times New Roman" w:cs="Times New Roman"/>
          <w:sz w:val="22"/>
        </w:rPr>
      </w:pPr>
      <w:r>
        <w:rPr>
          <w:rFonts w:cs="Times New Roman" w:ascii="Times New Roman" w:hAnsi="Times New Roman"/>
          <w:sz w:val="22"/>
        </w:rPr>
      </w:r>
    </w:p>
    <w:p>
      <w:pPr>
        <w:pStyle w:val="Justified"/>
        <w:widowControl/>
        <w:spacing w:before="0" w:after="0"/>
        <w:ind w:firstLine="720" w:end="0"/>
        <w:rPr>
          <w:rFonts w:ascii="Times New Roman" w:hAnsi="Times New Roman" w:cs="Times New Roman"/>
        </w:rPr>
      </w:pPr>
      <w:r>
        <w:rPr>
          <w:rFonts w:cs="Times New Roman" w:ascii="Times New Roman" w:hAnsi="Times New Roman"/>
        </w:rPr>
        <w:t>Except as amended hereby, all other terms and conditions of the Master Agreement and Annex A attached thereto and the Confirmations referred to herein shall remain the same and in full force and effect.</w:t>
      </w:r>
    </w:p>
    <w:p>
      <w:pPr>
        <w:pStyle w:val="Normal"/>
        <w:keepNext w:val="true"/>
        <w:jc w:val="both"/>
        <w:rPr>
          <w:rFonts w:ascii="Times New Roman" w:hAnsi="Times New Roman" w:cs="Times New Roman"/>
          <w:sz w:val="22"/>
        </w:rPr>
      </w:pPr>
      <w:r>
        <w:rPr>
          <w:rFonts w:cs="Times New Roman"/>
          <w:sz w:val="22"/>
        </w:rPr>
      </w:r>
    </w:p>
    <w:p>
      <w:pPr>
        <w:pStyle w:val="Normal"/>
        <w:keepNext w:val="true"/>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Master Agreement.</w:t>
      </w:r>
    </w:p>
    <w:p>
      <w:pPr>
        <w:pStyle w:val="Normal"/>
        <w:jc w:val="both"/>
        <w:rPr>
          <w:sz w:val="22"/>
        </w:rPr>
      </w:pPr>
      <w:r>
        <w:rPr>
          <w:sz w:val="22"/>
        </w:rPr>
      </w:r>
    </w:p>
    <w:p>
      <w:pPr>
        <w:pStyle w:val="BodyTextIndent2"/>
        <w:keepNext w:val="true"/>
        <w:widowControl/>
        <w:tabs>
          <w:tab w:val="clear" w:pos="1350"/>
        </w:tabs>
        <w:rPr>
          <w:rFonts w:ascii="Times New Roman" w:hAnsi="Times New Roman" w:cs="Times New Roman"/>
        </w:rPr>
      </w:pPr>
      <w:r>
        <w:rPr>
          <w:rFonts w:cs="Times New Roman" w:ascii="Times New Roman" w:hAnsi="Times New Roman"/>
        </w:rPr>
        <w:t>EXECUTED effective as of the Effective Date but subject to the satisfaction of the conditions precedent set forth in Section II above.</w:t>
      </w:r>
    </w:p>
    <w:p>
      <w:pPr>
        <w:pStyle w:val="BodyTextIndent2"/>
        <w:keepNext w:val="true"/>
        <w:widowControl/>
        <w:tabs>
          <w:tab w:val="clear" w:pos="1350"/>
        </w:tabs>
        <w:rPr>
          <w:rFonts w:ascii="Times New Roman" w:hAnsi="Times New Roman" w:cs="Times New Roman"/>
        </w:rPr>
      </w:pPr>
      <w:r>
        <w:rPr>
          <w:rFonts w:cs="Times New Roman" w:ascii="Times New Roman" w:hAnsi="Times New Roman"/>
        </w:rPr>
      </w:r>
    </w:p>
    <w:p>
      <w:pPr>
        <w:pStyle w:val="BodyTextIndent2"/>
        <w:keepNext w:val="true"/>
        <w:widowControl/>
        <w:tabs>
          <w:tab w:val="clear" w:pos="1350"/>
        </w:tabs>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sz w:val="22"/>
        </w:rPr>
      </w:pPr>
      <w:r>
        <w:rPr>
          <w:rFonts w:cs="Times New Roman"/>
          <w:sz w:val="22"/>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Normal"/>
              <w:spacing w:lineRule="exact" w:line="240"/>
              <w:jc w:val="both"/>
              <w:rPr>
                <w:b/>
                <w:sz w:val="22"/>
              </w:rPr>
            </w:pPr>
            <w:r>
              <w:rPr>
                <w:b/>
                <w:sz w:val="22"/>
              </w:rPr>
              <w:t>ENRON NORTH AMERICA CORP.</w:t>
            </w:r>
          </w:p>
          <w:p>
            <w:pPr>
              <w:pStyle w:val="Normal"/>
              <w:spacing w:lineRule="exact" w:line="240"/>
              <w:jc w:val="both"/>
              <w:rPr>
                <w:b/>
                <w:sz w:val="22"/>
              </w:rPr>
            </w:pPr>
            <w:r>
              <w:rPr>
                <w:b/>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pPr>
            <w:r>
              <w:rPr>
                <w:sz w:val="22"/>
              </w:rPr>
              <w:t xml:space="preserve">Title:     </w:t>
            </w:r>
            <w:r>
              <w:rPr>
                <w:sz w:val="22"/>
                <w:u w:val="single"/>
              </w:rPr>
              <w:tab/>
              <w:tab/>
              <w:tab/>
              <w:tab/>
              <w:tab/>
            </w:r>
          </w:p>
          <w:p>
            <w:pPr>
              <w:pStyle w:val="Normal"/>
              <w:spacing w:lineRule="exact" w:line="240"/>
              <w:jc w:val="both"/>
              <w:rPr/>
            </w:pPr>
            <w:r>
              <w:rPr>
                <w:sz w:val="22"/>
              </w:rPr>
              <w:t xml:space="preserve">Date:     </w:t>
            </w:r>
            <w:r>
              <w:rPr>
                <w:sz w:val="22"/>
                <w:u w:val="single"/>
              </w:rPr>
              <w:tab/>
              <w:tab/>
              <w:tab/>
              <w:tab/>
              <w:tab/>
              <w:t xml:space="preserve">                                               </w:t>
            </w:r>
          </w:p>
        </w:tc>
        <w:tc>
          <w:tcPr>
            <w:tcW w:w="4950" w:type="dxa"/>
            <w:tcBorders/>
          </w:tcPr>
          <w:p>
            <w:pPr>
              <w:pStyle w:val="Normal"/>
              <w:spacing w:lineRule="exact" w:line="240"/>
              <w:jc w:val="both"/>
              <w:rPr>
                <w:b/>
                <w:sz w:val="22"/>
              </w:rPr>
            </w:pPr>
            <w:r>
              <w:rPr>
                <w:b/>
                <w:sz w:val="22"/>
              </w:rPr>
              <w:t>BARRETT RESOURCES CORPORATION</w:t>
            </w:r>
          </w:p>
          <w:p>
            <w:pPr>
              <w:pStyle w:val="Normal"/>
              <w:spacing w:lineRule="exact" w:line="240"/>
              <w:jc w:val="both"/>
              <w:rPr>
                <w:b/>
                <w:sz w:val="22"/>
              </w:rPr>
            </w:pPr>
            <w:r>
              <w:rPr>
                <w:b/>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pPr>
            <w:r>
              <w:rPr>
                <w:sz w:val="22"/>
              </w:rPr>
              <w:t>Title:</w:t>
              <w:tab/>
            </w:r>
            <w:r>
              <w:rPr>
                <w:sz w:val="22"/>
                <w:u w:val="single"/>
              </w:rPr>
              <w:tab/>
              <w:tab/>
              <w:tab/>
              <w:tab/>
              <w:tab/>
            </w:r>
          </w:p>
          <w:p>
            <w:pPr>
              <w:pStyle w:val="Normal"/>
              <w:spacing w:lineRule="exact" w:line="240"/>
              <w:jc w:val="both"/>
              <w:rPr>
                <w:sz w:val="22"/>
              </w:rPr>
            </w:pPr>
            <w:r>
              <w:rPr>
                <w:sz w:val="22"/>
              </w:rPr>
              <w:t xml:space="preserve">Date:    </w:t>
            </w:r>
            <w:r>
              <w:rPr>
                <w:sz w:val="22"/>
                <w:u w:val="single"/>
              </w:rPr>
              <w:tab/>
              <w:tab/>
              <w:tab/>
              <w:tab/>
              <w:tab/>
              <w:tab/>
              <w:t xml:space="preserve">              </w:t>
            </w:r>
          </w:p>
        </w:tc>
      </w:tr>
    </w:tbl>
    <w:p>
      <w:pPr>
        <w:pStyle w:val="Heading1"/>
        <w:ind w:hanging="0" w:start="0"/>
        <w:rPr>
          <w:sz w:val="22"/>
        </w:rPr>
      </w:pPr>
      <w:r>
        <w:rPr>
          <w:sz w:val="22"/>
        </w:rPr>
      </w:r>
    </w:p>
    <w:p>
      <w:pPr>
        <w:pStyle w:val="Normal"/>
        <w:jc w:val="center"/>
        <w:rPr>
          <w:b/>
          <w:sz w:val="22"/>
          <w:u w:val="single"/>
        </w:rPr>
      </w:pPr>
      <w:r>
        <w:rPr>
          <w:b/>
          <w:sz w:val="22"/>
          <w:u w:val="single"/>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ind w:hanging="720" w:start="720" w:end="0"/>
        <w:jc w:val="both"/>
        <w:rPr>
          <w:b/>
          <w:sz w:val="22"/>
          <w:u w:val="single"/>
        </w:rPr>
      </w:pPr>
      <w:r>
        <w:rPr>
          <w:b/>
          <w:sz w:val="22"/>
          <w:u w:val="single"/>
        </w:rPr>
      </w:r>
    </w:p>
    <w:p>
      <w:pPr>
        <w:pStyle w:val="Normal"/>
        <w:rPr>
          <w:sz w:val="22"/>
        </w:rPr>
      </w:pPr>
      <w:r>
        <w:rPr>
          <w:sz w:val="22"/>
        </w:rPr>
      </w:r>
    </w:p>
    <w:p>
      <w:pPr>
        <w:pStyle w:val="Normal"/>
        <w:jc w:val="center"/>
        <w:rPr>
          <w:b/>
          <w:sz w:val="22"/>
          <w:u w:val="single"/>
        </w:rPr>
      </w:pPr>
      <w:r>
        <w:rPr>
          <w:b/>
          <w:sz w:val="22"/>
          <w:u w:val="single"/>
        </w:rPr>
      </w:r>
    </w:p>
    <w:p>
      <w:pPr>
        <w:pStyle w:val="Normal"/>
        <w:jc w:val="center"/>
        <w:rPr>
          <w:sz w:val="22"/>
        </w:rPr>
      </w:pPr>
      <w:r>
        <w:rPr>
          <w:b/>
          <w:sz w:val="22"/>
          <w:u w:val="single"/>
        </w:rPr>
        <w:t>SCHEDULE 1</w:t>
      </w:r>
    </w:p>
    <w:p>
      <w:pPr>
        <w:pStyle w:val="Normal"/>
        <w:jc w:val="center"/>
        <w:rPr>
          <w:sz w:val="22"/>
        </w:rPr>
      </w:pPr>
      <w:r>
        <w:rPr>
          <w:sz w:val="22"/>
        </w:rPr>
      </w:r>
    </w:p>
    <w:p>
      <w:pPr>
        <w:pStyle w:val="Heading5"/>
        <w:ind w:hanging="0" w:start="0"/>
        <w:rPr/>
      </w:pPr>
      <w:r>
        <w:rPr/>
        <w:t>EXEMPT TRANSACTIONS</w:t>
      </w:r>
    </w:p>
    <w:p>
      <w:pPr>
        <w:pStyle w:val="Normal"/>
        <w:jc w:val="center"/>
        <w:rPr/>
      </w:pPr>
      <w:r>
        <w:rPr/>
      </w:r>
      <w:r>
        <w:br w:type="page"/>
      </w:r>
    </w:p>
    <w:p>
      <w:pPr>
        <w:pStyle w:val="Normal"/>
        <w:jc w:val="center"/>
        <w:rPr>
          <w:b/>
          <w:bCs/>
          <w:u w:val="single"/>
        </w:rPr>
      </w:pPr>
      <w:r>
        <w:rPr>
          <w:b/>
          <w:bCs/>
          <w:u w:val="single"/>
        </w:rPr>
        <w:t>SCHEDULE II</w:t>
      </w:r>
    </w:p>
    <w:p>
      <w:pPr>
        <w:pStyle w:val="Normal"/>
        <w:jc w:val="center"/>
        <w:rPr>
          <w:b/>
          <w:bCs/>
          <w:u w:val="single"/>
        </w:rPr>
      </w:pPr>
      <w:r>
        <w:rPr>
          <w:b/>
          <w:bCs/>
          <w:u w:val="single"/>
        </w:rPr>
      </w:r>
    </w:p>
    <w:p>
      <w:pPr>
        <w:pStyle w:val="Normal"/>
        <w:jc w:val="center"/>
        <w:rPr/>
      </w:pPr>
      <w:r>
        <w:rPr/>
      </w:r>
    </w:p>
    <w:p>
      <w:pPr>
        <w:pStyle w:val="Heading5"/>
        <w:ind w:hanging="0" w:start="0"/>
        <w:rPr/>
      </w:pPr>
      <w:r>
        <w:rPr/>
        <w:t>ASSIGNED TRANSACTIONS</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 xml:space="preserve">  </w:t>
      </w:r>
    </w:p>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O:\Legal\Sbailey\Amendments\007amd.doc</w:t>
    </w:r>
  </w:p>
  <w:p>
    <w:pPr>
      <w:pStyle w:val="Footer"/>
      <w:jc w:val="center"/>
      <w:rPr>
        <w:sz w:val="20"/>
      </w:rPr>
    </w:pPr>
    <w:r>
      <w:rPr>
        <w:sz w:val="20"/>
      </w:rPr>
      <w:t>Annex A</w:t>
    </w:r>
  </w:p>
  <w:p>
    <w:pPr>
      <w:pStyle w:val="Footer"/>
      <w:jc w:val="center"/>
      <w:rPr/>
    </w:pPr>
    <w:r>
      <w:rP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2"/>
      </w:rPr>
    </w:pPr>
    <w:r>
      <w:rPr>
        <w:sz w:val="12"/>
      </w:rPr>
      <w:t>O:\Legal\Sbailey\Amendments\007amd.doc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sz w:val="22"/>
      <w:u w:val="single"/>
    </w:rPr>
  </w:style>
  <w:style w:type="paragraph" w:styleId="Heading5">
    <w:name w:val="heading 5"/>
    <w:basedOn w:val="Normal"/>
    <w:next w:val="Normal"/>
    <w:qFormat/>
    <w:pPr>
      <w:keepNext w:val="true"/>
      <w:numPr>
        <w:ilvl w:val="4"/>
        <w:numId w:val="1"/>
      </w:numPr>
      <w:jc w:val="center"/>
      <w:outlineLvl w:val="4"/>
    </w:pPr>
    <w:rPr>
      <w:b/>
      <w:bCs/>
    </w:rPr>
  </w:style>
  <w:style w:type="character" w:styleId="WW8Num1z0">
    <w:name w:val="WW8Num1z0"/>
    <w:qFormat/>
    <w:rPr/>
  </w:style>
  <w:style w:type="character" w:styleId="WW8Num3z0">
    <w:name w:val="WW8Num3z0"/>
    <w:qFormat/>
    <w:rPr>
      <w:b w:val="fals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z w:val="22"/>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b/>
      <w:sz w:val="22"/>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FootnoteText">
    <w:name w:val="footnote text"/>
    <w:basedOn w:val="Normal"/>
    <w:pPr>
      <w:widowControl w:val="false"/>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BodyTextIndent">
    <w:name w:val="Body Text Indent"/>
    <w:basedOn w:val="Normal"/>
    <w:pPr>
      <w:ind w:hanging="0" w:start="1080" w:end="0"/>
      <w:jc w:val="both"/>
    </w:pPr>
    <w:rPr>
      <w:sz w:val="22"/>
    </w:rPr>
  </w:style>
  <w:style w:type="paragraph" w:styleId="BodyTextIndent3">
    <w:name w:val="Body Text Indent 3"/>
    <w:basedOn w:val="Normal"/>
    <w:qFormat/>
    <w:pPr>
      <w:ind w:hanging="0" w:start="72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2000-07-06T12:03:00Z</dcterms:created>
  <dc:creator>mheard</dc:creator>
  <dc:description/>
  <dc:language>en-CA</dc:language>
  <cp:lastModifiedBy>cstclai</cp:lastModifiedBy>
  <cp:lastPrinted>2000-07-06T11:22:00Z</cp:lastPrinted>
  <dcterms:modified xsi:type="dcterms:W3CDTF">2000-07-06T13:53:00Z</dcterms:modified>
  <cp:revision>7</cp:revision>
  <dc:subject/>
  <dc:title>AMENDMENT TO MASTER AGREEMENT</dc:title>
</cp:coreProperties>
</file>