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454" w:type="dxa"/>
        <w:jc w:val="start"/>
        <w:tblInd w:w="0" w:type="dxa"/>
        <w:tblLayout w:type="fixed"/>
        <w:tblCellMar>
          <w:top w:w="0" w:type="dxa"/>
          <w:start w:w="108" w:type="dxa"/>
          <w:bottom w:w="0" w:type="dxa"/>
          <w:end w:w="108" w:type="dxa"/>
        </w:tblCellMar>
      </w:tblPr>
      <w:tblGrid>
        <w:gridCol w:w="4698"/>
        <w:gridCol w:w="4878"/>
        <w:gridCol w:w="4878"/>
      </w:tblGrid>
      <w:tr>
        <w:trPr/>
        <w:tc>
          <w:tcPr>
            <w:tcW w:w="4698" w:type="dxa"/>
            <w:tcBorders/>
          </w:tcPr>
          <w:p>
            <w:pPr>
              <w:pStyle w:val="Index1"/>
              <w:rPr/>
            </w:pPr>
            <w:r>
              <w:rPr/>
              <w:drawing>
                <wp:inline distT="0" distB="0" distL="0" distR="0">
                  <wp:extent cx="822960" cy="8089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2960" cy="808990"/>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jc w:val="end"/>
              <w:rPr>
                <w:b/>
              </w:rPr>
            </w:pPr>
            <w:r>
              <w:rPr>
                <w:b/>
              </w:rPr>
              <w:t>Enron North America Corp.</w:t>
            </w:r>
          </w:p>
          <w:p>
            <w:pPr>
              <w:pStyle w:val="Normal"/>
              <w:tabs>
                <w:tab w:val="clear" w:pos="720"/>
                <w:tab w:val="left" w:pos="2412" w:leader="none"/>
              </w:tabs>
              <w:ind w:start="1962" w:end="0"/>
              <w:jc w:val="end"/>
              <w:rPr/>
            </w:pPr>
            <w:r>
              <w:rPr/>
              <w:fldChar w:fldCharType="begin"/>
            </w:r>
            <w:r>
              <w:rPr/>
              <w:instrText xml:space="preserve"> MERGEFIELD EnronLogoAddr1 </w:instrText>
            </w:r>
            <w:r>
              <w:rPr/>
              <w:fldChar w:fldCharType="separate"/>
            </w:r>
            <w:r>
              <w:rPr/>
              <w:t>P.O. Box 4428</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EnronLogoAddr2 </w:instrText>
            </w:r>
            <w:r>
              <w:rPr/>
              <w:fldChar w:fldCharType="separate"/>
            </w:r>
            <w:r>
              <w:rPr/>
              <w:t>Houston TX 77210-4428</w:t>
            </w:r>
            <w:r>
              <w:rPr/>
              <w:fldChar w:fldCharType="end"/>
            </w:r>
          </w:p>
          <w:p>
            <w:pPr>
              <w:pStyle w:val="Normal"/>
              <w:tabs>
                <w:tab w:val="clear" w:pos="720"/>
                <w:tab w:val="left" w:pos="2412" w:leader="none"/>
              </w:tabs>
              <w:ind w:start="1962" w:end="0"/>
              <w:jc w:val="end"/>
              <w:rPr/>
            </w:pPr>
            <w:r>
              <w:rPr/>
              <w:t xml:space="preserve">Phone </w:t>
            </w:r>
            <w:r>
              <w:rPr/>
              <w:fldChar w:fldCharType="begin"/>
            </w:r>
            <w:r>
              <w:rPr/>
              <w:instrText xml:space="preserve"> MERGEFIELD EnronLogoAddr3 </w:instrText>
            </w:r>
            <w:r>
              <w:rPr/>
              <w:fldChar w:fldCharType="separate"/>
            </w:r>
            <w:r>
              <w:rPr/>
              <w:t>(713) 853-3300</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EnronLogoTelephone </w:instrText>
            </w:r>
            <w:r>
              <w:rPr/>
              <w:fldChar w:fldCharType="separate"/>
            </w:r>
            <w:r>
              <w:rPr/>
              <w:t>Fax (713) 646-4816</w:t>
            </w:r>
            <w:r>
              <w:rPr/>
              <w:fldChar w:fldCharType="end"/>
            </w:r>
            <w:r>
              <w:rPr/>
              <w:fldChar w:fldCharType="begin"/>
            </w:r>
            <w:r>
              <w:rPr/>
              <w:instrText xml:space="preserve"> MERGEFIELD EnronLogoFax </w:instrText>
            </w:r>
            <w:r>
              <w:rPr/>
              <w:fldChar w:fldCharType="separate"/>
            </w:r>
            <w:r>
              <w:rPr/>
              <w:t xml:space="preserve"> </w:t>
            </w:r>
            <w:r>
              <w:rPr/>
              <w:fldChar w:fldCharType="end"/>
            </w:r>
          </w:p>
        </w:tc>
        <w:tc>
          <w:tcPr>
            <w:tcW w:w="4878" w:type="dxa"/>
            <w:tcBorders/>
          </w:tcPr>
          <w:p>
            <w:pPr>
              <w:pStyle w:val="Normal"/>
              <w:tabs>
                <w:tab w:val="clear" w:pos="720"/>
                <w:tab w:val="left" w:pos="2412" w:leader="none"/>
              </w:tabs>
              <w:snapToGrid w:val="false"/>
              <w:ind w:start="1962" w:end="0"/>
              <w:rPr/>
            </w:pPr>
            <w:r>
              <w:rPr/>
            </w:r>
          </w:p>
        </w:tc>
      </w:tr>
    </w:tbl>
    <w:p>
      <w:pPr>
        <w:pStyle w:val="Normal"/>
        <w:rPr/>
      </w:pPr>
      <w:r>
        <w:rPr/>
      </w:r>
    </w:p>
    <w:p>
      <w:pPr>
        <w:pStyle w:val="Index1"/>
        <w:rPr/>
      </w:pPr>
      <w:r>
        <w:rPr/>
        <w:t>August 16, 2000</w:t>
      </w:r>
    </w:p>
    <w:p>
      <w:pPr>
        <w:pStyle w:val="Normal"/>
        <w:rPr/>
      </w:pPr>
      <w:r>
        <w:rPr/>
      </w:r>
    </w:p>
    <w:p>
      <w:pPr>
        <w:pStyle w:val="Normal"/>
        <w:jc w:val="both"/>
        <w:rPr>
          <w:color w:val="0000FF"/>
        </w:rPr>
      </w:pPr>
      <w:r>
        <w:rPr>
          <w:color w:val="0000FF"/>
        </w:rPr>
        <w:t>Barep Alize-Euro Fund</w:t>
      </w:r>
    </w:p>
    <w:p>
      <w:pPr>
        <w:pStyle w:val="Normal"/>
        <w:jc w:val="both"/>
        <w:rPr>
          <w:color w:val="0000FF"/>
        </w:rPr>
      </w:pPr>
      <w:r>
        <w:rPr>
          <w:color w:val="0000FF"/>
        </w:rPr>
        <w:t>3, rue La Fayette</w:t>
      </w:r>
    </w:p>
    <w:p>
      <w:pPr>
        <w:pStyle w:val="Normal"/>
        <w:jc w:val="both"/>
        <w:rPr>
          <w:color w:val="0000FF"/>
        </w:rPr>
      </w:pPr>
      <w:r>
        <w:rPr>
          <w:color w:val="0000FF"/>
        </w:rPr>
        <w:t>Paris, 75009</w:t>
      </w:r>
    </w:p>
    <w:p>
      <w:pPr>
        <w:pStyle w:val="Normal"/>
        <w:jc w:val="both"/>
        <w:rPr>
          <w:color w:val="0000FF"/>
        </w:rPr>
      </w:pPr>
      <w:r>
        <w:rPr>
          <w:color w:val="0000FF"/>
        </w:rPr>
      </w:r>
    </w:p>
    <w:p>
      <w:pPr>
        <w:pStyle w:val="Normal"/>
        <w:jc w:val="both"/>
        <w:rPr>
          <w:color w:val="0000FF"/>
        </w:rPr>
      </w:pPr>
      <w:r>
        <w:rPr>
          <w:color w:val="0000FF"/>
        </w:rPr>
        <w:t>Attention: Isabelle Deloume</w:t>
      </w:r>
    </w:p>
    <w:p>
      <w:pPr>
        <w:pStyle w:val="Normal"/>
        <w:rPr>
          <w:color w:val="0000FF"/>
        </w:rPr>
      </w:pPr>
      <w:r>
        <w:rPr>
          <w:color w:val="0000FF"/>
        </w:rPr>
        <w:t>Fax No.: 011 33 1 53 32 30 59</w:t>
      </w:r>
    </w:p>
    <w:p>
      <w:pPr>
        <w:pStyle w:val="Normal"/>
        <w:rPr>
          <w:color w:val="0000FF"/>
        </w:rPr>
      </w:pPr>
      <w:r>
        <w:rPr>
          <w:color w:val="0000FF"/>
        </w:rPr>
        <w:t>Telephone No.: 011 33 1 53 32 91 79</w:t>
      </w:r>
    </w:p>
    <w:p>
      <w:pPr>
        <w:pStyle w:val="Index1"/>
        <w:rPr>
          <w:color w:val="0000FF"/>
        </w:rPr>
      </w:pPr>
      <w:r>
        <w:rPr>
          <w:color w:val="0000FF"/>
        </w:rPr>
      </w:r>
    </w:p>
    <w:p>
      <w:pPr>
        <w:pStyle w:val="Normal"/>
        <w:rPr/>
      </w:pPr>
      <w:r>
        <w:rPr/>
        <w:t>Re:</w:t>
        <w:tab/>
        <w:t xml:space="preserve">TRANSACTION ENA Contract No. </w:t>
      </w:r>
      <w:r>
        <w:rPr>
          <w:color w:val="FF0000"/>
        </w:rPr>
        <w:t>WR979</w:t>
      </w:r>
    </w:p>
    <w:p>
      <w:pPr>
        <w:pStyle w:val="Normal"/>
        <w:rPr/>
      </w:pPr>
      <w:r>
        <w:rPr/>
      </w:r>
    </w:p>
    <w:p>
      <w:pPr>
        <w:pStyle w:val="Normal"/>
        <w:rPr/>
      </w:pPr>
      <w:r>
        <w:rPr/>
        <w:t>Dear Sirs:</w:t>
      </w:r>
    </w:p>
    <w:p>
      <w:pPr>
        <w:pStyle w:val="CommentText"/>
        <w:rPr/>
      </w:pPr>
      <w:r>
        <w:rPr/>
      </w:r>
    </w:p>
    <w:p>
      <w:pPr>
        <w:pStyle w:val="Normal"/>
        <w:jc w:val="both"/>
        <w:rPr/>
      </w:pPr>
      <w:r>
        <w:rPr/>
        <w:t xml:space="preserve">The purpose of this document is to confirm the terms and conditions of the transaction entered into between </w:t>
      </w:r>
      <w:r>
        <w:rPr>
          <w:color w:val="0000FF"/>
        </w:rPr>
        <w:t>Barep Alize-Euro Fund</w:t>
      </w:r>
      <w:r>
        <w:rPr/>
        <w:t xml:space="preserve"> (“Counterparty”) and Enron North America Corp. (“ENA”) on </w:t>
      </w:r>
      <w:r>
        <w:rPr>
          <w:color w:val="FF0000"/>
        </w:rPr>
        <w:t>August 16, 2000</w:t>
      </w:r>
      <w:r>
        <w:rPr/>
        <w:t xml:space="preserve">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w:t>
      </w:r>
      <w:r>
        <w:rPr>
          <w:color w:val="FF0000"/>
        </w:rPr>
        <w:t>August 16, 2000</w:t>
      </w:r>
      <w:r>
        <w:rPr/>
        <w:t xml:space="preserve"> between </w:t>
      </w:r>
      <w:r>
        <w:rPr>
          <w:color w:val="FF0000"/>
        </w:rPr>
        <w:t>Brando Hayden</w:t>
      </w:r>
      <w:r>
        <w:rPr/>
        <w:t xml:space="preserve"> of ENA and </w:t>
      </w:r>
      <w:r>
        <w:rPr>
          <w:color w:val="FF0000"/>
        </w:rPr>
        <w:t>Allan Roopan</w:t>
      </w:r>
      <w:r>
        <w:rPr/>
        <w:t xml:space="preserve"> of Counterparty.</w:t>
      </w:r>
    </w:p>
    <w:p>
      <w:pPr>
        <w:pStyle w:val="Normal"/>
        <w:jc w:val="both"/>
        <w:rPr/>
      </w:pPr>
      <w:r>
        <w:rPr/>
      </w:r>
    </w:p>
    <w:p>
      <w:pPr>
        <w:pStyle w:val="BodyText"/>
        <w:rPr>
          <w:color w:val="000000"/>
        </w:rPr>
      </w:pPr>
      <w:r>
        <w:rPr>
          <w:color w:val="000000"/>
        </w:rPr>
        <w:t>1.</w:t>
        <w:tab/>
        <w:t>The definitions and provisions contained in the 1991 ISDA Definitions and the 1993 ISDA Commodity Derivatives Definitions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000000"/>
        </w:rPr>
      </w:pPr>
      <w:r>
        <w:rPr>
          <w:color w:val="000000"/>
        </w:rPr>
      </w:r>
    </w:p>
    <w:p>
      <w:pPr>
        <w:pStyle w:val="Normal"/>
        <w:jc w:val="both"/>
        <w:rPr/>
      </w:pPr>
      <w:r>
        <w:rPr>
          <w:b/>
        </w:rPr>
        <w:t xml:space="preserve">2. </w:t>
        <w:tab/>
      </w:r>
      <w:r>
        <w:rPr>
          <w:b/>
          <w:u w:val="single"/>
        </w:rPr>
        <w:t>Terms of Transaction</w:t>
      </w:r>
      <w:r>
        <w:rPr>
          <w:b/>
        </w:rPr>
        <w:t>.</w:t>
      </w:r>
      <w:r>
        <w:rPr/>
        <w:t xml:space="preserve"> </w:t>
      </w:r>
    </w:p>
    <w:p>
      <w:pPr>
        <w:pStyle w:val="Normal"/>
        <w:jc w:val="both"/>
        <w:rPr/>
      </w:pPr>
      <w:r>
        <w:rPr/>
      </w:r>
    </w:p>
    <w:tbl>
      <w:tblPr>
        <w:tblW w:w="10048" w:type="dxa"/>
        <w:jc w:val="start"/>
        <w:tblInd w:w="0" w:type="dxa"/>
        <w:tblLayout w:type="fixed"/>
        <w:tblCellMar>
          <w:top w:w="0" w:type="dxa"/>
          <w:start w:w="108" w:type="dxa"/>
          <w:bottom w:w="0" w:type="dxa"/>
          <w:end w:w="108" w:type="dxa"/>
        </w:tblCellMar>
      </w:tblPr>
      <w:tblGrid>
        <w:gridCol w:w="4270"/>
        <w:gridCol w:w="5760"/>
        <w:gridCol w:w="18"/>
      </w:tblGrid>
      <w:tr>
        <w:trPr/>
        <w:tc>
          <w:tcPr>
            <w:tcW w:w="4270" w:type="dxa"/>
            <w:tcBorders/>
          </w:tcPr>
          <w:p>
            <w:pPr>
              <w:pStyle w:val="Normal"/>
              <w:jc w:val="both"/>
              <w:rPr/>
            </w:pPr>
            <w:r>
              <w:rPr/>
              <w:t>Option Type:</w:t>
            </w:r>
          </w:p>
        </w:tc>
        <w:tc>
          <w:tcPr>
            <w:tcW w:w="5760" w:type="dxa"/>
            <w:tcBorders/>
          </w:tcPr>
          <w:p>
            <w:pPr>
              <w:pStyle w:val="Normal"/>
              <w:jc w:val="both"/>
              <w:rPr/>
            </w:pPr>
            <w:r>
              <w:rPr/>
              <w:t>Heating Degree Day (“HDD”) Weather Collar</w:t>
            </w:r>
          </w:p>
        </w:tc>
      </w:tr>
      <w:tr>
        <w:trPr/>
        <w:tc>
          <w:tcPr>
            <w:tcW w:w="4270" w:type="dxa"/>
            <w:tcBorders/>
          </w:tcPr>
          <w:p>
            <w:pPr>
              <w:pStyle w:val="Normal"/>
              <w:snapToGrid w:val="false"/>
              <w:jc w:val="both"/>
              <w:rPr/>
            </w:pPr>
            <w:r>
              <w:rPr/>
            </w:r>
          </w:p>
        </w:tc>
        <w:tc>
          <w:tcPr>
            <w:tcW w:w="5760" w:type="dxa"/>
            <w:tcBorders/>
          </w:tcPr>
          <w:p>
            <w:pPr>
              <w:pStyle w:val="Normal"/>
              <w:snapToGrid w:val="false"/>
              <w:jc w:val="both"/>
              <w:rPr/>
            </w:pPr>
            <w:r>
              <w:rPr/>
            </w:r>
          </w:p>
        </w:tc>
      </w:tr>
      <w:tr>
        <w:trPr/>
        <w:tc>
          <w:tcPr>
            <w:tcW w:w="4270" w:type="dxa"/>
            <w:tcBorders/>
          </w:tcPr>
          <w:p>
            <w:pPr>
              <w:pStyle w:val="Normal"/>
              <w:jc w:val="both"/>
              <w:rPr/>
            </w:pPr>
            <w:r>
              <w:rPr/>
              <w:t>Notional Amount:</w:t>
            </w:r>
          </w:p>
          <w:p>
            <w:pPr>
              <w:pStyle w:val="Normal"/>
              <w:jc w:val="both"/>
              <w:rPr/>
            </w:pPr>
            <w:r>
              <w:rPr/>
            </w:r>
          </w:p>
        </w:tc>
        <w:tc>
          <w:tcPr>
            <w:tcW w:w="5760" w:type="dxa"/>
            <w:tcBorders/>
          </w:tcPr>
          <w:p>
            <w:pPr>
              <w:pStyle w:val="Normal"/>
              <w:jc w:val="both"/>
              <w:rPr/>
            </w:pPr>
            <w:r>
              <w:rPr>
                <w:color w:val="FF0000"/>
              </w:rPr>
              <w:t>$1,667</w:t>
            </w:r>
            <w:r>
              <w:rPr/>
              <w:t xml:space="preserve"> Per HDD</w:t>
            </w:r>
          </w:p>
          <w:p>
            <w:pPr>
              <w:pStyle w:val="Normal"/>
              <w:jc w:val="both"/>
              <w:rPr/>
            </w:pPr>
            <w:r>
              <w:rPr/>
            </w:r>
          </w:p>
        </w:tc>
      </w:tr>
      <w:tr>
        <w:trPr/>
        <w:tc>
          <w:tcPr>
            <w:tcW w:w="4270" w:type="dxa"/>
            <w:tcBorders/>
          </w:tcPr>
          <w:p>
            <w:pPr>
              <w:pStyle w:val="Normal"/>
              <w:jc w:val="both"/>
              <w:rPr/>
            </w:pPr>
            <w:r>
              <w:rPr/>
              <w:t>Trade Date:</w:t>
            </w:r>
          </w:p>
        </w:tc>
        <w:tc>
          <w:tcPr>
            <w:tcW w:w="5760" w:type="dxa"/>
            <w:tcBorders/>
          </w:tcPr>
          <w:p>
            <w:pPr>
              <w:pStyle w:val="Normal"/>
              <w:jc w:val="both"/>
              <w:rPr>
                <w:color w:val="FF0000"/>
              </w:rPr>
            </w:pPr>
            <w:r>
              <w:rPr>
                <w:color w:val="FF0000"/>
              </w:rPr>
              <w:t>August 16, 2000</w:t>
            </w:r>
          </w:p>
        </w:tc>
      </w:tr>
      <w:tr>
        <w:trPr/>
        <w:tc>
          <w:tcPr>
            <w:tcW w:w="4270" w:type="dxa"/>
            <w:tcBorders/>
          </w:tcPr>
          <w:p>
            <w:pPr>
              <w:pStyle w:val="Normal"/>
              <w:snapToGrid w:val="false"/>
              <w:jc w:val="both"/>
              <w:rPr>
                <w:color w:val="FF0000"/>
              </w:rPr>
            </w:pPr>
            <w:r>
              <w:rPr>
                <w:color w:val="FF0000"/>
              </w:rPr>
            </w:r>
          </w:p>
        </w:tc>
        <w:tc>
          <w:tcPr>
            <w:tcW w:w="5760" w:type="dxa"/>
            <w:tcBorders/>
          </w:tcPr>
          <w:p>
            <w:pPr>
              <w:pStyle w:val="Normal"/>
              <w:snapToGrid w:val="false"/>
              <w:jc w:val="both"/>
              <w:rPr/>
            </w:pPr>
            <w:r>
              <w:rPr/>
            </w:r>
          </w:p>
        </w:tc>
      </w:tr>
      <w:tr>
        <w:trPr/>
        <w:tc>
          <w:tcPr>
            <w:tcW w:w="4270" w:type="dxa"/>
            <w:tcBorders/>
          </w:tcPr>
          <w:p>
            <w:pPr>
              <w:pStyle w:val="Normal"/>
              <w:jc w:val="both"/>
              <w:rPr/>
            </w:pPr>
            <w:r>
              <w:rPr/>
              <w:t>Effective Date:</w:t>
            </w:r>
          </w:p>
        </w:tc>
        <w:tc>
          <w:tcPr>
            <w:tcW w:w="5760" w:type="dxa"/>
            <w:tcBorders/>
          </w:tcPr>
          <w:p>
            <w:pPr>
              <w:pStyle w:val="Normal"/>
              <w:jc w:val="both"/>
              <w:rPr>
                <w:color w:val="FF0000"/>
              </w:rPr>
            </w:pPr>
            <w:r>
              <w:rPr>
                <w:color w:val="FF0000"/>
              </w:rPr>
              <w:t>November 1, 2000</w:t>
            </w:r>
          </w:p>
        </w:tc>
      </w:tr>
      <w:tr>
        <w:trPr/>
        <w:tc>
          <w:tcPr>
            <w:tcW w:w="4270" w:type="dxa"/>
            <w:tcBorders/>
          </w:tcPr>
          <w:p>
            <w:pPr>
              <w:pStyle w:val="Normal"/>
              <w:snapToGrid w:val="false"/>
              <w:jc w:val="both"/>
              <w:rPr>
                <w:color w:val="FF0000"/>
              </w:rPr>
            </w:pPr>
            <w:r>
              <w:rPr>
                <w:color w:val="FF0000"/>
              </w:rPr>
            </w:r>
          </w:p>
        </w:tc>
        <w:tc>
          <w:tcPr>
            <w:tcW w:w="5760" w:type="dxa"/>
            <w:tcBorders/>
          </w:tcPr>
          <w:p>
            <w:pPr>
              <w:pStyle w:val="Normal"/>
              <w:snapToGrid w:val="false"/>
              <w:jc w:val="both"/>
              <w:rPr/>
            </w:pPr>
            <w:r>
              <w:rPr/>
            </w:r>
          </w:p>
        </w:tc>
      </w:tr>
      <w:tr>
        <w:trPr/>
        <w:tc>
          <w:tcPr>
            <w:tcW w:w="4270" w:type="dxa"/>
            <w:tcBorders/>
          </w:tcPr>
          <w:p>
            <w:pPr>
              <w:pStyle w:val="Normal"/>
              <w:jc w:val="both"/>
              <w:rPr/>
            </w:pPr>
            <w:r>
              <w:rPr/>
              <w:t>Termination Date:</w:t>
            </w:r>
          </w:p>
          <w:p>
            <w:pPr>
              <w:pStyle w:val="Normal"/>
              <w:rPr/>
            </w:pPr>
            <w:r>
              <w:rPr/>
            </w:r>
          </w:p>
          <w:p>
            <w:pPr>
              <w:pStyle w:val="Normal"/>
              <w:rPr/>
            </w:pPr>
            <w:r>
              <w:rPr/>
              <w:t>Premium Payment Details:</w:t>
            </w:r>
          </w:p>
        </w:tc>
        <w:tc>
          <w:tcPr>
            <w:tcW w:w="5760" w:type="dxa"/>
            <w:tcBorders/>
          </w:tcPr>
          <w:p>
            <w:pPr>
              <w:pStyle w:val="Normal"/>
              <w:jc w:val="both"/>
              <w:rPr>
                <w:color w:val="FF0000"/>
              </w:rPr>
            </w:pPr>
            <w:r>
              <w:rPr>
                <w:color w:val="FF0000"/>
              </w:rPr>
              <w:t>March 31, 2001</w:t>
            </w:r>
          </w:p>
          <w:p>
            <w:pPr>
              <w:pStyle w:val="Normal"/>
              <w:jc w:val="both"/>
              <w:rPr>
                <w:color w:val="FF0000"/>
              </w:rPr>
            </w:pPr>
            <w:r>
              <w:rPr>
                <w:color w:val="FF0000"/>
              </w:rPr>
            </w:r>
          </w:p>
          <w:p>
            <w:pPr>
              <w:pStyle w:val="Normal"/>
              <w:jc w:val="both"/>
              <w:rPr/>
            </w:pPr>
            <w:r>
              <w:rPr>
                <w:color w:val="FF0000"/>
              </w:rPr>
              <w:t>Counterparty</w:t>
            </w:r>
            <w:r>
              <w:rPr/>
              <w:t xml:space="preserve"> shall pay </w:t>
            </w:r>
            <w:r>
              <w:rPr>
                <w:color w:val="FF0000"/>
              </w:rPr>
              <w:t>ENA</w:t>
            </w:r>
            <w:r>
              <w:rPr/>
              <w:t xml:space="preserve"> </w:t>
            </w:r>
            <w:r>
              <w:rPr>
                <w:color w:val="FF0000"/>
              </w:rPr>
              <w:t>$30,000</w:t>
            </w:r>
            <w:r>
              <w:rPr/>
              <w:t xml:space="preserve"> two Business Days after Trade Date.</w:t>
            </w:r>
          </w:p>
        </w:tc>
      </w:tr>
      <w:tr>
        <w:trPr/>
        <w:tc>
          <w:tcPr>
            <w:tcW w:w="4270" w:type="dxa"/>
            <w:tcBorders/>
          </w:tcPr>
          <w:p>
            <w:pPr>
              <w:pStyle w:val="Normal"/>
              <w:snapToGrid w:val="false"/>
              <w:jc w:val="both"/>
              <w:rPr/>
            </w:pPr>
            <w:r>
              <w:rPr/>
            </w:r>
          </w:p>
          <w:p>
            <w:pPr>
              <w:pStyle w:val="Normal"/>
              <w:jc w:val="both"/>
              <w:rPr/>
            </w:pPr>
            <w:r>
              <w:rPr/>
              <w:t>Calculation Period:</w:t>
            </w:r>
          </w:p>
        </w:tc>
        <w:tc>
          <w:tcPr>
            <w:tcW w:w="5760" w:type="dxa"/>
            <w:tcBorders/>
          </w:tcPr>
          <w:p>
            <w:pPr>
              <w:pStyle w:val="Normal"/>
              <w:snapToGrid w:val="false"/>
              <w:jc w:val="both"/>
              <w:rPr/>
            </w:pPr>
            <w:r>
              <w:rPr/>
            </w:r>
          </w:p>
          <w:p>
            <w:pPr>
              <w:pStyle w:val="Normal"/>
              <w:jc w:val="both"/>
              <w:rPr/>
            </w:pPr>
            <w:r>
              <w:rPr/>
              <w:t>The period from and including the Effective Date to and including the Termination Date.</w:t>
            </w:r>
          </w:p>
        </w:tc>
      </w:tr>
      <w:tr>
        <w:trPr/>
        <w:tc>
          <w:tcPr>
            <w:tcW w:w="4270" w:type="dxa"/>
            <w:tcBorders/>
          </w:tcPr>
          <w:p>
            <w:pPr>
              <w:pStyle w:val="Normal"/>
              <w:snapToGrid w:val="false"/>
              <w:jc w:val="both"/>
              <w:rPr/>
            </w:pPr>
            <w:r>
              <w:rPr/>
            </w:r>
          </w:p>
          <w:p>
            <w:pPr>
              <w:pStyle w:val="Normal"/>
              <w:jc w:val="both"/>
              <w:rPr/>
            </w:pPr>
            <w:r>
              <w:rPr/>
              <w:t>Payment Dates:</w:t>
            </w:r>
          </w:p>
        </w:tc>
        <w:tc>
          <w:tcPr>
            <w:tcW w:w="5760" w:type="dxa"/>
            <w:tcBorders/>
          </w:tcPr>
          <w:p>
            <w:pPr>
              <w:pStyle w:val="Normal"/>
              <w:snapToGrid w:val="false"/>
              <w:jc w:val="both"/>
              <w:rPr/>
            </w:pPr>
            <w:r>
              <w:rPr/>
            </w:r>
          </w:p>
          <w:p>
            <w:pPr>
              <w:pStyle w:val="Normal"/>
              <w:jc w:val="both"/>
              <w:rPr/>
            </w:pPr>
            <w:r>
              <w:rPr/>
              <w:t>Payment Date shall be the tenth Business Day after the day on which the Weather Index for the relevant Calculation Period is determinable, provided however, that a one time adjustment in the amount paid will be made by the appropriate party, if applicable, if the National Climatic Data Center (“NCDC”) makes any correction or adjustment to the reported daily high and low temperatures within 95 days of the end of such Calculation Period for any day within that Calculation Period.</w:t>
            </w:r>
          </w:p>
        </w:tc>
      </w:tr>
      <w:tr>
        <w:trPr/>
        <w:tc>
          <w:tcPr>
            <w:tcW w:w="4270" w:type="dxa"/>
            <w:tcBorders/>
          </w:tcPr>
          <w:p>
            <w:pPr>
              <w:pStyle w:val="Normal"/>
              <w:snapToGrid w:val="false"/>
              <w:jc w:val="both"/>
              <w:rPr/>
            </w:pPr>
            <w:r>
              <w:rPr/>
            </w:r>
          </w:p>
          <w:p>
            <w:pPr>
              <w:pStyle w:val="Normal"/>
              <w:jc w:val="both"/>
              <w:rPr/>
            </w:pPr>
            <w:r>
              <w:rPr/>
              <w:t>Cap Weather Index Payer:</w:t>
            </w:r>
          </w:p>
        </w:tc>
        <w:tc>
          <w:tcPr>
            <w:tcW w:w="5760" w:type="dxa"/>
            <w:tcBorders/>
          </w:tcPr>
          <w:p>
            <w:pPr>
              <w:pStyle w:val="Normal"/>
              <w:snapToGrid w:val="false"/>
              <w:jc w:val="both"/>
              <w:rPr/>
            </w:pPr>
            <w:r>
              <w:rPr/>
            </w:r>
          </w:p>
          <w:p>
            <w:pPr>
              <w:pStyle w:val="Normal"/>
              <w:jc w:val="both"/>
              <w:rPr>
                <w:color w:val="FF0000"/>
              </w:rPr>
            </w:pPr>
            <w:r>
              <w:rPr>
                <w:color w:val="FF0000"/>
              </w:rPr>
              <w:t>ENA</w:t>
            </w:r>
          </w:p>
        </w:tc>
      </w:tr>
      <w:tr>
        <w:trPr/>
        <w:tc>
          <w:tcPr>
            <w:tcW w:w="4270" w:type="dxa"/>
            <w:tcBorders/>
          </w:tcPr>
          <w:p>
            <w:pPr>
              <w:pStyle w:val="Normal"/>
              <w:jc w:val="both"/>
              <w:rPr/>
            </w:pPr>
            <w:r>
              <w:rPr/>
              <w:t>Cap Strike Amount:</w:t>
            </w:r>
          </w:p>
        </w:tc>
        <w:tc>
          <w:tcPr>
            <w:tcW w:w="5760" w:type="dxa"/>
            <w:tcBorders/>
          </w:tcPr>
          <w:p>
            <w:pPr>
              <w:pStyle w:val="Normal"/>
              <w:jc w:val="both"/>
              <w:rPr>
                <w:color w:val="FF0000"/>
              </w:rPr>
            </w:pPr>
            <w:r>
              <w:rPr>
                <w:color w:val="FF0000"/>
              </w:rPr>
              <w:t>3850 HDD</w:t>
            </w:r>
          </w:p>
        </w:tc>
      </w:tr>
      <w:tr>
        <w:trPr/>
        <w:tc>
          <w:tcPr>
            <w:tcW w:w="4270" w:type="dxa"/>
            <w:tcBorders/>
          </w:tcPr>
          <w:p>
            <w:pPr>
              <w:pStyle w:val="Normal"/>
              <w:snapToGrid w:val="false"/>
              <w:jc w:val="both"/>
              <w:rPr>
                <w:color w:val="FF0000"/>
              </w:rPr>
            </w:pPr>
            <w:r>
              <w:rPr>
                <w:color w:val="FF0000"/>
              </w:rPr>
            </w:r>
          </w:p>
        </w:tc>
        <w:tc>
          <w:tcPr>
            <w:tcW w:w="5760" w:type="dxa"/>
            <w:tcBorders/>
          </w:tcPr>
          <w:p>
            <w:pPr>
              <w:pStyle w:val="Normal"/>
              <w:snapToGrid w:val="false"/>
              <w:jc w:val="both"/>
              <w:rPr/>
            </w:pPr>
            <w:r>
              <w:rPr/>
            </w:r>
          </w:p>
        </w:tc>
      </w:tr>
      <w:tr>
        <w:trPr/>
        <w:tc>
          <w:tcPr>
            <w:tcW w:w="4270" w:type="dxa"/>
            <w:tcBorders/>
          </w:tcPr>
          <w:p>
            <w:pPr>
              <w:pStyle w:val="Normal"/>
              <w:jc w:val="both"/>
              <w:rPr/>
            </w:pPr>
            <w:r>
              <w:rPr/>
              <w:t>Floor Weather Index Payer:</w:t>
            </w:r>
          </w:p>
        </w:tc>
        <w:tc>
          <w:tcPr>
            <w:tcW w:w="5760" w:type="dxa"/>
            <w:tcBorders/>
          </w:tcPr>
          <w:p>
            <w:pPr>
              <w:pStyle w:val="Normal"/>
              <w:jc w:val="both"/>
              <w:rPr>
                <w:color w:val="FF0000"/>
              </w:rPr>
            </w:pPr>
            <w:r>
              <w:rPr>
                <w:color w:val="FF0000"/>
              </w:rPr>
              <w:t>Counterparty</w:t>
            </w:r>
          </w:p>
        </w:tc>
      </w:tr>
      <w:tr>
        <w:trPr/>
        <w:tc>
          <w:tcPr>
            <w:tcW w:w="4270" w:type="dxa"/>
            <w:tcBorders/>
          </w:tcPr>
          <w:p>
            <w:pPr>
              <w:pStyle w:val="Normal"/>
              <w:snapToGrid w:val="false"/>
              <w:jc w:val="both"/>
              <w:rPr>
                <w:color w:val="FF0000"/>
              </w:rPr>
            </w:pPr>
            <w:r>
              <w:rPr>
                <w:color w:val="FF0000"/>
              </w:rPr>
            </w:r>
          </w:p>
        </w:tc>
        <w:tc>
          <w:tcPr>
            <w:tcW w:w="5760" w:type="dxa"/>
            <w:tcBorders/>
          </w:tcPr>
          <w:p>
            <w:pPr>
              <w:pStyle w:val="Normal"/>
              <w:snapToGrid w:val="false"/>
              <w:jc w:val="both"/>
              <w:rPr/>
            </w:pPr>
            <w:r>
              <w:rPr/>
            </w:r>
          </w:p>
        </w:tc>
      </w:tr>
      <w:tr>
        <w:trPr/>
        <w:tc>
          <w:tcPr>
            <w:tcW w:w="4270" w:type="dxa"/>
            <w:tcBorders/>
          </w:tcPr>
          <w:p>
            <w:pPr>
              <w:pStyle w:val="Normal"/>
              <w:jc w:val="both"/>
              <w:rPr/>
            </w:pPr>
            <w:r>
              <w:rPr/>
              <w:t>Floor Strike Amount:</w:t>
            </w:r>
          </w:p>
          <w:p>
            <w:pPr>
              <w:pStyle w:val="Normal"/>
              <w:jc w:val="both"/>
              <w:rPr/>
            </w:pPr>
            <w:r>
              <w:rPr/>
            </w:r>
          </w:p>
        </w:tc>
        <w:tc>
          <w:tcPr>
            <w:tcW w:w="5760" w:type="dxa"/>
            <w:tcBorders/>
          </w:tcPr>
          <w:p>
            <w:pPr>
              <w:pStyle w:val="Normal"/>
              <w:jc w:val="both"/>
              <w:rPr>
                <w:color w:val="FF0000"/>
              </w:rPr>
            </w:pPr>
            <w:r>
              <w:rPr>
                <w:color w:val="FF0000"/>
              </w:rPr>
              <w:t>3625 HDD</w:t>
            </w:r>
          </w:p>
        </w:tc>
      </w:tr>
      <w:tr>
        <w:trPr/>
        <w:tc>
          <w:tcPr>
            <w:tcW w:w="4270" w:type="dxa"/>
            <w:tcBorders/>
          </w:tcPr>
          <w:p>
            <w:pPr>
              <w:pStyle w:val="Normal"/>
              <w:jc w:val="both"/>
              <w:rPr/>
            </w:pPr>
            <w:r>
              <w:rPr/>
              <w:t>Reference Weather Station(s):</w:t>
            </w:r>
          </w:p>
          <w:p>
            <w:pPr>
              <w:pStyle w:val="Normal"/>
              <w:jc w:val="both"/>
              <w:rPr/>
            </w:pPr>
            <w:r>
              <w:rPr/>
            </w:r>
          </w:p>
        </w:tc>
        <w:tc>
          <w:tcPr>
            <w:tcW w:w="5760" w:type="dxa"/>
            <w:tcBorders/>
          </w:tcPr>
          <w:p>
            <w:pPr>
              <w:pStyle w:val="Normal"/>
              <w:jc w:val="both"/>
              <w:rPr>
                <w:color w:val="FF0000"/>
              </w:rPr>
            </w:pPr>
            <w:r>
              <w:rPr>
                <w:color w:val="FF0000"/>
              </w:rPr>
              <w:t>Philadelphia International Airport, Philadelphia, PA, WBAN# 13739, WMO# 72408</w:t>
            </w:r>
          </w:p>
        </w:tc>
      </w:tr>
      <w:tr>
        <w:trPr/>
        <w:tc>
          <w:tcPr>
            <w:tcW w:w="4270" w:type="dxa"/>
            <w:tcBorders/>
          </w:tcPr>
          <w:p>
            <w:pPr>
              <w:pStyle w:val="Normal"/>
              <w:snapToGrid w:val="false"/>
              <w:jc w:val="both"/>
              <w:rPr/>
            </w:pPr>
            <w:r>
              <w:rPr/>
            </w:r>
          </w:p>
        </w:tc>
        <w:tc>
          <w:tcPr>
            <w:tcW w:w="5760" w:type="dxa"/>
            <w:tcBorders/>
          </w:tcPr>
          <w:p>
            <w:pPr>
              <w:pStyle w:val="Normal"/>
              <w:snapToGrid w:val="false"/>
              <w:jc w:val="both"/>
              <w:rPr/>
            </w:pPr>
            <w:r>
              <w:rPr/>
            </w:r>
          </w:p>
        </w:tc>
      </w:tr>
      <w:tr>
        <w:trPr/>
        <w:tc>
          <w:tcPr>
            <w:tcW w:w="4270" w:type="dxa"/>
            <w:tcBorders/>
          </w:tcPr>
          <w:p>
            <w:pPr>
              <w:pStyle w:val="Normal"/>
              <w:jc w:val="both"/>
              <w:rPr/>
            </w:pPr>
            <w:r>
              <w:rPr/>
              <w:t>Weather Index:</w:t>
            </w:r>
          </w:p>
        </w:tc>
        <w:tc>
          <w:tcPr>
            <w:tcW w:w="5760" w:type="dxa"/>
            <w:tcBorders/>
          </w:tcPr>
          <w:p>
            <w:pPr>
              <w:pStyle w:val="Normal"/>
              <w:jc w:val="both"/>
              <w:rPr/>
            </w:pPr>
            <w:r>
              <w:rPr/>
              <w:t>The sum of the Heating Degree Days (“HDD’s”) calculated in accordance with the procedure detailed below for each day during the applicable Calculation Period.</w:t>
            </w:r>
          </w:p>
          <w:p>
            <w:pPr>
              <w:pStyle w:val="Normal"/>
              <w:jc w:val="both"/>
              <w:rPr/>
            </w:pPr>
            <w:r>
              <w:rPr/>
            </w:r>
          </w:p>
          <w:p>
            <w:pPr>
              <w:pStyle w:val="Normal"/>
              <w:jc w:val="both"/>
              <w:rPr/>
            </w:pPr>
            <w:r>
              <w:rPr/>
              <w:t>HDD for each day is equal to the greater of (i) 65 minus the non-rounded average of the daily maximum and daily minimum temperatures in degrees Fahrenheit from and including 12:01 AM on that day to but not including 12:01 AM on the next day local time as measured by the National Weather Service (“NWS”), and reported by the NCDC, for the Reference Weather Station or (ii) zero.  The daily maximum and minimum temperatures measured by the NWS and reported by the NCDC shall be rounded to whole numbers prior to the calculation of HDDs as follows:  if the first number after the decimal point is five (5) or greater then the whole number shall be increased by one (1), and if the first number after the decimal point is less than five (5) then the whole number shall remain unchanged (the “Rounding Convention”).</w:t>
            </w:r>
          </w:p>
          <w:p>
            <w:pPr>
              <w:pStyle w:val="Normal"/>
              <w:jc w:val="both"/>
              <w:rPr/>
            </w:pPr>
            <w:r>
              <w:rPr/>
            </w:r>
          </w:p>
          <w:p>
            <w:pPr>
              <w:pStyle w:val="BodyTextIndent"/>
              <w:rPr/>
            </w:pPr>
            <w:r>
              <w:rPr/>
              <w:t>(“NWS” means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w:t>
            </w:r>
          </w:p>
          <w:p>
            <w:pPr>
              <w:pStyle w:val="BodyTextIndent"/>
              <w:rPr/>
            </w:pPr>
            <w:r>
              <w:rPr/>
            </w:r>
          </w:p>
          <w:p>
            <w:pPr>
              <w:pStyle w:val="BodyTextIndent"/>
              <w:rPr/>
            </w:pPr>
            <w:r>
              <w:rPr/>
            </w:r>
          </w:p>
          <w:p>
            <w:pPr>
              <w:pStyle w:val="Normal"/>
              <w:jc w:val="both"/>
              <w:rPr/>
            </w:pPr>
            <w:r>
              <w:rPr/>
              <w:t>(“NCDC” means the National Climatic Data Center, a unit of the National Oceanic and Atmospheric Administration Data Centers, or its successor organization, which reports temperature information reported by the NWS).</w:t>
            </w:r>
          </w:p>
        </w:tc>
      </w:tr>
      <w:tr>
        <w:trPr/>
        <w:tc>
          <w:tcPr>
            <w:tcW w:w="4270" w:type="dxa"/>
            <w:tcBorders/>
          </w:tcPr>
          <w:p>
            <w:pPr>
              <w:pStyle w:val="Normal"/>
              <w:jc w:val="both"/>
              <w:rPr/>
            </w:pPr>
            <w:r>
              <w:rPr/>
              <w:t xml:space="preserve">Fallback Reference Weather Station: </w:t>
            </w:r>
          </w:p>
        </w:tc>
        <w:tc>
          <w:tcPr>
            <w:tcW w:w="5760" w:type="dxa"/>
            <w:tcBorders/>
          </w:tcPr>
          <w:p>
            <w:pPr>
              <w:pStyle w:val="Normal"/>
              <w:jc w:val="both"/>
              <w:rPr/>
            </w:pPr>
            <w:r>
              <w:rPr/>
              <w:t xml:space="preserve">If for any day during the relevant Calculation Period a daily maximum or daily minimum temperature is unavailable for the Reference Weather Station then the missing temperature(s) for that day at such Reference Weather Station shall be calculated in accordance with the following procedure: (i) the daily maximum (if the missing temperature is a daily maximum) or daily minimum (if the missing temperature is a daily minimum) temperature for the corresponding day of each of the previous 30 years (or such shorter period for which data has been reported) at such Reference Weather Station shall be identified as reported in degrees Fahrenheit by the NCDC (which numbers as reported by the NCDC shall not be rounded by the parties) and an average for the missing temperature shall be determined, which average temperature shall be determined to and including four decimal points (If there are any days with missing values in the previous 30 year period, those days will be excluded from the calculation of the average temperature at the Reference Weather Station or the Fallback Weather Station); (ii) in accordance with the above procedures, the daily maximum or daily minimum temperature as appropriate shall be determined for the corresponding day of each of the previous 30 years (or such shorter period for which data has been reported) at the NWS Weather Station at </w:t>
            </w:r>
            <w:r>
              <w:rPr>
                <w:color w:val="FF0000"/>
              </w:rPr>
              <w:t>Allentown Lehigh Valley International, Allentown, PA, WBAN#  14737, WMO# 72517</w:t>
            </w:r>
            <w:r>
              <w:rPr/>
              <w:t xml:space="preserve">, (the “Fallback Reference Weather Station”) as reported in degrees Fahrenheit by the NCDC (which numbers as reported by the NCDC shall not be rounded by the parties), and an average temperature shall be determined, which average temperature shall be determined to and including four decimal points or if for any day the daily maximum or daily minimum temperature is unavailable for the Fallback Reference Weather Station then the missing temperature(s) for that day shall be taken from the closest geographical location mutually agreed by the parties; (iii) the average temperature generated in (ii) above shall be subtracted from the average temperature generated in (i) above (with the resulting number (whether positive or negative) referred to as the "Average Temperature Adjustment"); (iv) the daily maximum or daily minimum temperature as appropriate for the corresponding Fallback Reference Weather Station  for the day for which the daily maximum or daily minimum temperature is missing for the Reference Weather Station shall be identified as reported in degrees Fahrenheit by the NCDC (which number as reported by the NCDC shall not be rounded); and (v) the temperature determined in (iv) shall be adjusted by adding the the Average Temperature Adjustment if it is a positive number and subtracting the absolute value of the Average Temperature Adjustment if it is a negative number, with the resulting number being rounded in accordance with the Rounding Convention.  The final rounded whole number determined in (v) shall be deemed the daily maximum or daily minimum temperature as appropriate for the Reference Weather Station for the relevant day and shall be the number used to make the calculations as required in determining the Weather Index pursuant to the procedures set forth above. </w:t>
            </w:r>
          </w:p>
          <w:p>
            <w:pPr>
              <w:pStyle w:val="Normal"/>
              <w:jc w:val="both"/>
              <w:rPr/>
            </w:pPr>
            <w:r>
              <w:rPr/>
            </w:r>
          </w:p>
        </w:tc>
      </w:tr>
      <w:tr>
        <w:trPr/>
        <w:tc>
          <w:tcPr>
            <w:tcW w:w="4270" w:type="dxa"/>
            <w:tcBorders/>
          </w:tcPr>
          <w:p>
            <w:pPr>
              <w:pStyle w:val="Normal"/>
              <w:jc w:val="both"/>
              <w:rPr/>
            </w:pPr>
            <w:r>
              <w:rPr/>
              <w:t>Data Sources:</w:t>
            </w:r>
          </w:p>
          <w:p>
            <w:pPr>
              <w:pStyle w:val="Normal"/>
              <w:jc w:val="both"/>
              <w:rPr/>
            </w:pPr>
            <w:r>
              <w:rPr/>
            </w:r>
          </w:p>
        </w:tc>
        <w:tc>
          <w:tcPr>
            <w:tcW w:w="5760" w:type="dxa"/>
            <w:tcBorders/>
          </w:tcPr>
          <w:p>
            <w:pPr>
              <w:pStyle w:val="Normal"/>
              <w:jc w:val="both"/>
              <w:rPr/>
            </w:pPr>
            <w:r>
              <w:rPr/>
              <w:t>The data used to determine the Weather Index shall be obtained from the NCDC’s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NCDC data is corrected or adjusted within 95 days of the end of the Calculation Period or (ii) the data is temporarily sourced from the Regional Climate Data Center, then the data for such new, adjusted or corrected number(s) shall be obtained from the NCDC’s official website located at http://www4.ncdc.noaa.gov/cgi win/wwcgi.dll?WWNolos~ Product~PB-078.</w:t>
            </w:r>
          </w:p>
          <w:p>
            <w:pPr>
              <w:pStyle w:val="Normal"/>
              <w:jc w:val="both"/>
              <w:rPr/>
            </w:pPr>
            <w:r>
              <w:rPr/>
            </w:r>
          </w:p>
          <w:p>
            <w:pPr>
              <w:pStyle w:val="Normal"/>
              <w:jc w:val="both"/>
              <w:rPr/>
            </w:pPr>
            <w:r>
              <w:rPr/>
              <w:t>Notwithstanding the foregoing, if neither the NCDC nor the Regional Climate Data Center issues data for the Reference Weather Station or the Fallback Reference Weather Station, then the parties shall use their best efforts to mutually agree on a Data Source to be utilized as a temporary alternate to substitute for the missing data.</w:t>
            </w:r>
          </w:p>
          <w:p>
            <w:pPr>
              <w:pStyle w:val="Normal"/>
              <w:jc w:val="both"/>
              <w:rPr/>
            </w:pPr>
            <w:r>
              <w:rPr/>
            </w:r>
          </w:p>
        </w:tc>
      </w:tr>
      <w:tr>
        <w:trPr/>
        <w:tc>
          <w:tcPr>
            <w:tcW w:w="4270" w:type="dxa"/>
            <w:tcBorders/>
          </w:tcPr>
          <w:p>
            <w:pPr>
              <w:pStyle w:val="Normal"/>
              <w:jc w:val="both"/>
              <w:rPr/>
            </w:pPr>
            <w:r>
              <w:rPr/>
              <w:t>Weather Index Strike Price Differential:</w:t>
            </w:r>
          </w:p>
        </w:tc>
        <w:tc>
          <w:tcPr>
            <w:tcW w:w="5778" w:type="dxa"/>
            <w:tcBorders/>
          </w:tcPr>
          <w:p>
            <w:pPr>
              <w:pStyle w:val="Normal"/>
              <w:jc w:val="both"/>
              <w:rPr/>
            </w:pPr>
            <w:r>
              <w:rPr/>
              <w:t>The relevant Weather Index Strike Price Differential shall be equal to, with respect to (a) the Cap, the amount equal to the excess (if a positive number) of (i) the Weather Index over (ii) the Cap Strike Amount and (b) the Floor, the amount equal to the excess (if a positive number) of (i) the Floor Strike Amount over the (ii) the Weather Index.</w:t>
            </w:r>
          </w:p>
        </w:tc>
      </w:tr>
      <w:tr>
        <w:trPr/>
        <w:tc>
          <w:tcPr>
            <w:tcW w:w="4270" w:type="dxa"/>
            <w:tcBorders/>
          </w:tcPr>
          <w:p>
            <w:pPr>
              <w:pStyle w:val="Normal"/>
              <w:snapToGrid w:val="false"/>
              <w:jc w:val="both"/>
              <w:rPr/>
            </w:pPr>
            <w:r>
              <w:rPr/>
            </w:r>
          </w:p>
        </w:tc>
        <w:tc>
          <w:tcPr>
            <w:tcW w:w="5778" w:type="dxa"/>
            <w:tcBorders/>
          </w:tcPr>
          <w:p>
            <w:pPr>
              <w:pStyle w:val="Normal"/>
              <w:snapToGrid w:val="false"/>
              <w:jc w:val="both"/>
              <w:rPr/>
            </w:pPr>
            <w:r>
              <w:rPr/>
            </w:r>
          </w:p>
        </w:tc>
      </w:tr>
      <w:tr>
        <w:trPr/>
        <w:tc>
          <w:tcPr>
            <w:tcW w:w="4270" w:type="dxa"/>
            <w:tcBorders/>
          </w:tcPr>
          <w:p>
            <w:pPr>
              <w:pStyle w:val="Normal"/>
              <w:jc w:val="both"/>
              <w:rPr/>
            </w:pPr>
            <w:r>
              <w:rPr/>
              <w:t>Payment Amount:</w:t>
            </w:r>
          </w:p>
        </w:tc>
        <w:tc>
          <w:tcPr>
            <w:tcW w:w="5778" w:type="dxa"/>
            <w:tcBorders/>
          </w:tcPr>
          <w:p>
            <w:pPr>
              <w:pStyle w:val="Normal"/>
              <w:keepNext w:val="true"/>
              <w:keepLines/>
              <w:jc w:val="both"/>
              <w:rPr/>
            </w:pPr>
            <w:r>
              <w:rPr/>
              <w:t xml:space="preserve">Notwithstanding any provision of the Agreement to the contrary, for the relevant Payment Date, an amount owing, if any, shall be payable in US Dollars by (a) the Cap Floating Amount Payer, if the relevant Weather Index is greater than the Cap Strike Amount, equal to the product of (i) the Notional Amount and (ii) the relevant Weather Index Strike Price Differential, which amount shall be due and payable on the applicable Payment Date and (b) the Floor Floating Amount Payer, if the Floor Strike Amount is greater than the relevant Weather Index, equal to the product of (i) the Notional Amount and (ii) the relevant Weather Index Strike Price Differential which amount shall be due and payable on the applicable Payment Date, </w:t>
            </w:r>
            <w:r>
              <w:rPr>
                <w:b/>
              </w:rPr>
              <w:t>provided, however</w:t>
            </w:r>
            <w:r>
              <w:rPr/>
              <w:t xml:space="preserve">, that the maximum amount owing to the other party shall not exceed US </w:t>
            </w:r>
            <w:r>
              <w:rPr>
                <w:color w:val="FF0000"/>
              </w:rPr>
              <w:t>$500,000</w:t>
            </w:r>
            <w:r>
              <w:rPr/>
              <w:t xml:space="preserve">. </w:t>
            </w:r>
          </w:p>
        </w:tc>
      </w:tr>
      <w:tr>
        <w:trPr/>
        <w:tc>
          <w:tcPr>
            <w:tcW w:w="4270" w:type="dxa"/>
            <w:tcBorders/>
          </w:tcPr>
          <w:p>
            <w:pPr>
              <w:pStyle w:val="Normal"/>
              <w:snapToGrid w:val="false"/>
              <w:jc w:val="both"/>
              <w:rPr/>
            </w:pPr>
            <w:r>
              <w:rPr/>
            </w:r>
          </w:p>
        </w:tc>
        <w:tc>
          <w:tcPr>
            <w:tcW w:w="5778" w:type="dxa"/>
            <w:tcBorders/>
          </w:tcPr>
          <w:p>
            <w:pPr>
              <w:pStyle w:val="Normal"/>
              <w:snapToGrid w:val="false"/>
              <w:jc w:val="both"/>
              <w:rPr/>
            </w:pPr>
            <w:r>
              <w:rPr/>
            </w:r>
          </w:p>
        </w:tc>
      </w:tr>
      <w:tr>
        <w:trPr/>
        <w:tc>
          <w:tcPr>
            <w:tcW w:w="4270" w:type="dxa"/>
            <w:tcBorders/>
          </w:tcPr>
          <w:p>
            <w:pPr>
              <w:pStyle w:val="Normal"/>
              <w:jc w:val="both"/>
              <w:rPr/>
            </w:pPr>
            <w:r>
              <w:rPr/>
              <w:t>Calculation Agent:</w:t>
            </w:r>
          </w:p>
        </w:tc>
        <w:tc>
          <w:tcPr>
            <w:tcW w:w="5778" w:type="dxa"/>
            <w:tcBorders/>
          </w:tcPr>
          <w:p>
            <w:pPr>
              <w:pStyle w:val="Normal"/>
              <w:jc w:val="both"/>
              <w:rPr/>
            </w:pPr>
            <w:r>
              <w:rPr/>
              <w:t>Party A</w:t>
            </w:r>
          </w:p>
        </w:tc>
      </w:tr>
      <w:tr>
        <w:trPr/>
        <w:tc>
          <w:tcPr>
            <w:tcW w:w="4270" w:type="dxa"/>
            <w:tcBorders/>
          </w:tcPr>
          <w:p>
            <w:pPr>
              <w:pStyle w:val="Normal"/>
              <w:snapToGrid w:val="false"/>
              <w:jc w:val="both"/>
              <w:rPr/>
            </w:pPr>
            <w:r>
              <w:rPr/>
            </w:r>
          </w:p>
        </w:tc>
        <w:tc>
          <w:tcPr>
            <w:tcW w:w="5778" w:type="dxa"/>
            <w:tcBorders/>
          </w:tcPr>
          <w:p>
            <w:pPr>
              <w:pStyle w:val="Normal"/>
              <w:snapToGrid w:val="false"/>
              <w:jc w:val="both"/>
              <w:rPr/>
            </w:pPr>
            <w:r>
              <w:rPr/>
            </w:r>
          </w:p>
        </w:tc>
      </w:tr>
      <w:tr>
        <w:trPr/>
        <w:tc>
          <w:tcPr>
            <w:tcW w:w="4270" w:type="dxa"/>
            <w:tcBorders/>
          </w:tcPr>
          <w:p>
            <w:pPr>
              <w:pStyle w:val="Normal"/>
              <w:jc w:val="both"/>
              <w:rPr/>
            </w:pPr>
            <w:r>
              <w:rPr/>
              <w:t>Governing Law:</w:t>
            </w:r>
          </w:p>
        </w:tc>
        <w:tc>
          <w:tcPr>
            <w:tcW w:w="5778" w:type="dxa"/>
            <w:tcBorders/>
          </w:tcPr>
          <w:p>
            <w:pPr>
              <w:pStyle w:val="Normal"/>
              <w:jc w:val="both"/>
              <w:rPr/>
            </w:pPr>
            <w:r>
              <w:rPr/>
              <w:t>New York</w:t>
            </w:r>
          </w:p>
        </w:tc>
      </w:tr>
    </w:tbl>
    <w:p>
      <w:pPr>
        <w:pStyle w:val="CommentText"/>
        <w:rPr/>
      </w:pPr>
      <w:r>
        <w:rPr/>
      </w:r>
    </w:p>
    <w:p>
      <w:pPr>
        <w:pStyle w:val="Normal"/>
        <w:rPr/>
      </w:pPr>
      <w:r>
        <w:rPr/>
      </w:r>
    </w:p>
    <w:p>
      <w:pPr>
        <w:pStyle w:val="BodyText2"/>
        <w:rPr/>
      </w:pPr>
      <w:r>
        <w:rPr>
          <w:color w:val="auto"/>
        </w:rPr>
        <w:t>3.</w:t>
        <w:tab/>
      </w:r>
      <w:r>
        <w:rPr>
          <w:b/>
          <w:color w:val="auto"/>
          <w:u w:val="single"/>
        </w:rPr>
        <w:t>Account Details.</w:t>
      </w:r>
    </w:p>
    <w:p>
      <w:pPr>
        <w:pStyle w:val="BodyText2"/>
        <w:rPr>
          <w:b/>
          <w:color w:val="auto"/>
          <w:u w:val="single"/>
        </w:rPr>
      </w:pPr>
      <w:r>
        <w:rPr>
          <w:b/>
          <w:color w:val="auto"/>
          <w:u w:val="single"/>
        </w:rPr>
      </w:r>
    </w:p>
    <w:p>
      <w:pPr>
        <w:pStyle w:val="BodyText2"/>
        <w:ind w:start="360" w:end="0"/>
        <w:rPr>
          <w:color w:val="auto"/>
          <w:u w:val="single"/>
        </w:rPr>
      </w:pPr>
      <w:r>
        <w:rPr>
          <w:color w:val="auto"/>
          <w:u w:val="single"/>
        </w:rPr>
        <w:t>Payments to ENA:</w:t>
      </w:r>
    </w:p>
    <w:p>
      <w:pPr>
        <w:pStyle w:val="BodyText2"/>
        <w:ind w:start="360" w:end="0"/>
        <w:rPr/>
      </w:pPr>
      <w:r>
        <w:rPr/>
        <w:tab/>
        <w:tab/>
        <w:tab/>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color w:val="000000"/>
              </w:rPr>
            </w:pPr>
            <w:r>
              <w:rPr>
                <w:color w:val="000000"/>
              </w:rPr>
              <w:t xml:space="preserve">Pay  </w:t>
            </w:r>
          </w:p>
        </w:tc>
        <w:tc>
          <w:tcPr>
            <w:tcW w:w="5490" w:type="dxa"/>
            <w:gridSpan w:val="2"/>
            <w:tcBorders/>
          </w:tcPr>
          <w:p>
            <w:pPr>
              <w:pStyle w:val="Normal"/>
              <w:tabs>
                <w:tab w:val="clear" w:pos="720"/>
                <w:tab w:val="left" w:pos="360" w:leader="none"/>
              </w:tabs>
              <w:ind w:hanging="360" w:start="360" w:end="0"/>
              <w:rPr>
                <w:color w:val="000000"/>
              </w:rPr>
            </w:pPr>
            <w:r>
              <w:rPr/>
              <w:t>:</w:t>
              <w:tab/>
              <w:t>Bank of America, N.A.</w:t>
            </w:r>
          </w:p>
        </w:tc>
      </w:tr>
      <w:tr>
        <w:trPr/>
        <w:tc>
          <w:tcPr>
            <w:tcW w:w="5490" w:type="dxa"/>
            <w:tcBorders/>
          </w:tcPr>
          <w:p>
            <w:pPr>
              <w:pStyle w:val="Normal"/>
              <w:snapToGrid w:val="false"/>
              <w:ind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For the Account of</w:t>
            </w:r>
          </w:p>
        </w:tc>
        <w:tc>
          <w:tcPr>
            <w:tcW w:w="5490" w:type="dxa"/>
            <w:gridSpan w:val="2"/>
            <w:tcBorders/>
          </w:tcPr>
          <w:p>
            <w:pPr>
              <w:pStyle w:val="Normal"/>
              <w:tabs>
                <w:tab w:val="clear" w:pos="720"/>
                <w:tab w:val="left" w:pos="360" w:leader="none"/>
              </w:tabs>
              <w:ind w:hanging="360" w:start="360" w:end="0"/>
              <w:rPr/>
            </w:pPr>
            <w:r>
              <w:rPr>
                <w:color w:val="000000"/>
              </w:rPr>
              <w:t xml:space="preserve">:     Enron </w:t>
            </w:r>
            <w:r>
              <w:rPr/>
              <w:t xml:space="preserve">North America </w:t>
            </w:r>
            <w:r>
              <w:rPr>
                <w:color w:val="000000"/>
              </w:rPr>
              <w:t>Corp.</w:t>
            </w:r>
          </w:p>
        </w:tc>
      </w:tr>
      <w:tr>
        <w:trPr/>
        <w:tc>
          <w:tcPr>
            <w:tcW w:w="5490" w:type="dxa"/>
            <w:tcBorders/>
          </w:tcPr>
          <w:p>
            <w:pPr>
              <w:pStyle w:val="Normal"/>
              <w:snapToGrid w:val="false"/>
              <w:ind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Account Number/</w:t>
            </w:r>
          </w:p>
          <w:p>
            <w:pPr>
              <w:pStyle w:val="Normal"/>
              <w:ind w:start="2862" w:end="0"/>
              <w:rPr>
                <w:color w:val="000000"/>
              </w:rPr>
            </w:pPr>
            <w:r>
              <w:rPr>
                <w:color w:val="000000"/>
              </w:rPr>
              <w:t>CHIPS UID</w:t>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p>
            <w:pPr>
              <w:pStyle w:val="Normal"/>
              <w:tabs>
                <w:tab w:val="clear" w:pos="720"/>
                <w:tab w:val="left" w:pos="360" w:leader="none"/>
              </w:tabs>
              <w:ind w:hanging="360" w:start="360" w:end="0"/>
              <w:rPr>
                <w:color w:val="000000"/>
              </w:rPr>
            </w:pPr>
            <w:r>
              <w:rPr>
                <w:color w:val="000000"/>
              </w:rPr>
              <w:t>:</w:t>
              <w:tab/>
              <w:t>3750494727</w:t>
            </w:r>
          </w:p>
        </w:tc>
      </w:tr>
      <w:tr>
        <w:trPr/>
        <w:tc>
          <w:tcPr>
            <w:tcW w:w="5499" w:type="dxa"/>
            <w:gridSpan w:val="2"/>
            <w:tcBorders/>
          </w:tcPr>
          <w:p>
            <w:pPr>
              <w:pStyle w:val="Normal"/>
              <w:snapToGrid w:val="false"/>
              <w:ind w:start="2862" w:end="0"/>
              <w:rPr>
                <w:color w:val="000000"/>
              </w:rPr>
            </w:pPr>
            <w:r>
              <w:rPr>
                <w:color w:val="000000"/>
              </w:rPr>
            </w:r>
          </w:p>
          <w:p>
            <w:pPr>
              <w:pStyle w:val="Normal"/>
              <w:ind w:start="2862" w:end="0"/>
              <w:rPr>
                <w:color w:val="000000"/>
              </w:rPr>
            </w:pPr>
            <w:r>
              <w:rPr>
                <w:color w:val="000000"/>
              </w:rPr>
              <w:t>Fed. ABA No.</w:t>
            </w:r>
          </w:p>
        </w:tc>
        <w:tc>
          <w:tcPr>
            <w:tcW w:w="5499" w:type="dxa"/>
            <w:tcBorders/>
          </w:tcPr>
          <w:p>
            <w:pPr>
              <w:pStyle w:val="Normal"/>
              <w:tabs>
                <w:tab w:val="clear" w:pos="720"/>
                <w:tab w:val="left" w:pos="360" w:leader="none"/>
              </w:tabs>
              <w:snapToGrid w:val="false"/>
              <w:ind w:hanging="360" w:start="360" w:end="0"/>
              <w:rPr>
                <w:color w:val="000000"/>
              </w:rPr>
            </w:pPr>
            <w:r>
              <w:rPr>
                <w:color w:val="000000"/>
              </w:rPr>
            </w:r>
          </w:p>
          <w:p>
            <w:pPr>
              <w:pStyle w:val="Normal"/>
              <w:tabs>
                <w:tab w:val="clear" w:pos="720"/>
                <w:tab w:val="left" w:pos="360" w:leader="none"/>
              </w:tabs>
              <w:ind w:hanging="360" w:start="360" w:end="0"/>
              <w:rPr>
                <w:color w:val="000000"/>
              </w:rPr>
            </w:pPr>
            <w:r>
              <w:rPr>
                <w:color w:val="000000"/>
              </w:rPr>
              <w:t>:</w:t>
              <w:tab/>
              <w:t>111000012</w:t>
            </w:r>
          </w:p>
        </w:tc>
      </w:tr>
      <w:tr>
        <w:trPr/>
        <w:tc>
          <w:tcPr>
            <w:tcW w:w="5499" w:type="dxa"/>
            <w:gridSpan w:val="2"/>
            <w:tcBorders/>
          </w:tcPr>
          <w:p>
            <w:pPr>
              <w:pStyle w:val="Normal"/>
              <w:snapToGrid w:val="false"/>
              <w:ind w:firstLine="90" w:start="2862" w:end="0"/>
              <w:rPr>
                <w:color w:val="000000"/>
              </w:rPr>
            </w:pPr>
            <w:r>
              <w:rPr>
                <w:color w:val="000000"/>
              </w:rPr>
            </w:r>
          </w:p>
        </w:tc>
        <w:tc>
          <w:tcPr>
            <w:tcW w:w="5499" w:type="dxa"/>
            <w:tcBorders/>
          </w:tcPr>
          <w:p>
            <w:pPr>
              <w:pStyle w:val="Normal"/>
              <w:snapToGrid w:val="false"/>
              <w:rPr>
                <w:color w:val="000000"/>
              </w:rPr>
            </w:pPr>
            <w:r>
              <w:rPr>
                <w:color w:val="000000"/>
              </w:rPr>
            </w:r>
          </w:p>
        </w:tc>
      </w:tr>
      <w:tr>
        <w:trPr/>
        <w:tc>
          <w:tcPr>
            <w:tcW w:w="5499" w:type="dxa"/>
            <w:gridSpan w:val="2"/>
            <w:tcBorders/>
          </w:tcPr>
          <w:p>
            <w:pPr>
              <w:pStyle w:val="Normal"/>
              <w:keepNext w:val="true"/>
              <w:ind w:hanging="1800" w:start="2502" w:end="0"/>
              <w:rPr>
                <w:color w:val="000000"/>
              </w:rPr>
            </w:pPr>
            <w:r>
              <w:rPr>
                <w:color w:val="000000"/>
              </w:rPr>
              <w:tab/>
            </w:r>
            <w:r>
              <w:rPr>
                <w:color w:val="000000"/>
                <w:u w:val="single"/>
              </w:rPr>
              <w:t>Payments to Counterparty:</w:t>
            </w:r>
          </w:p>
        </w:tc>
        <w:tc>
          <w:tcPr>
            <w:tcW w:w="5499" w:type="dxa"/>
            <w:tcBorders/>
          </w:tcPr>
          <w:p>
            <w:pPr>
              <w:pStyle w:val="Normal"/>
              <w:keepNext w:val="true"/>
              <w:snapToGrid w:val="false"/>
              <w:rPr>
                <w:color w:val="000000"/>
              </w:rPr>
            </w:pPr>
            <w:r>
              <w:rPr>
                <w:color w:val="000000"/>
              </w:rPr>
            </w:r>
          </w:p>
        </w:tc>
      </w:tr>
      <w:tr>
        <w:trPr/>
        <w:tc>
          <w:tcPr>
            <w:tcW w:w="5490" w:type="dxa"/>
            <w:tcBorders/>
          </w:tcPr>
          <w:p>
            <w:pPr>
              <w:pStyle w:val="Normal"/>
              <w:keepNext w:val="true"/>
              <w:snapToGrid w:val="false"/>
              <w:ind w:hanging="2160" w:start="2862" w:end="0"/>
              <w:rPr>
                <w:color w:val="000000"/>
              </w:rPr>
            </w:pPr>
            <w:r>
              <w:rPr>
                <w:color w:val="000000"/>
              </w:rPr>
            </w:r>
          </w:p>
        </w:tc>
        <w:tc>
          <w:tcPr>
            <w:tcW w:w="5490" w:type="dxa"/>
            <w:gridSpan w:val="2"/>
            <w:tcBorders/>
          </w:tcPr>
          <w:p>
            <w:pPr>
              <w:pStyle w:val="Normal"/>
              <w:keepNext w:val="true"/>
              <w:snapToGrid w:val="false"/>
              <w:rPr>
                <w:color w:val="000000"/>
              </w:rPr>
            </w:pPr>
            <w:r>
              <w:rPr>
                <w:color w:val="000000"/>
              </w:rPr>
            </w:r>
          </w:p>
        </w:tc>
      </w:tr>
      <w:tr>
        <w:trPr/>
        <w:tc>
          <w:tcPr>
            <w:tcW w:w="5490" w:type="dxa"/>
            <w:tcBorders/>
          </w:tcPr>
          <w:p>
            <w:pPr>
              <w:pStyle w:val="Normal"/>
              <w:keepNext w:val="true"/>
              <w:ind w:start="2862" w:end="0"/>
              <w:rPr>
                <w:color w:val="000000"/>
              </w:rPr>
            </w:pPr>
            <w:r>
              <w:rPr>
                <w:color w:val="000000"/>
              </w:rPr>
              <w:t xml:space="preserve">Pay  </w:t>
            </w:r>
          </w:p>
        </w:tc>
        <w:tc>
          <w:tcPr>
            <w:tcW w:w="5490" w:type="dxa"/>
            <w:gridSpan w:val="2"/>
            <w:tcBorders/>
          </w:tcPr>
          <w:p>
            <w:pPr>
              <w:pStyle w:val="Normal"/>
              <w:keepNext w:val="true"/>
              <w:tabs>
                <w:tab w:val="clear" w:pos="720"/>
                <w:tab w:val="left" w:pos="342" w:leader="none"/>
              </w:tabs>
              <w:ind w:hanging="360" w:start="360" w:end="0"/>
              <w:rPr>
                <w:color w:val="FF0000"/>
              </w:rPr>
            </w:pPr>
            <w:r>
              <w:rPr>
                <w:color w:val="FF0000"/>
              </w:rPr>
              <w:t xml:space="preserve">: </w:t>
            </w:r>
            <w:r>
              <w:rPr>
                <w:color w:val="0000FF"/>
              </w:rPr>
              <w:t>please advise</w:t>
            </w:r>
          </w:p>
        </w:tc>
      </w:tr>
      <w:tr>
        <w:trPr/>
        <w:tc>
          <w:tcPr>
            <w:tcW w:w="5490" w:type="dxa"/>
            <w:tcBorders/>
          </w:tcPr>
          <w:p>
            <w:pPr>
              <w:pStyle w:val="Normal"/>
              <w:keepNext w:val="true"/>
              <w:snapToGrid w:val="false"/>
              <w:ind w:hanging="2160"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FF"/>
              </w:rPr>
            </w:pPr>
            <w:r>
              <w:rPr>
                <w:color w:val="0000FF"/>
              </w:rPr>
            </w:r>
          </w:p>
        </w:tc>
      </w:tr>
      <w:tr>
        <w:trPr/>
        <w:tc>
          <w:tcPr>
            <w:tcW w:w="5490" w:type="dxa"/>
            <w:tcBorders/>
          </w:tcPr>
          <w:p>
            <w:pPr>
              <w:pStyle w:val="Normal"/>
              <w:keepNext w:val="true"/>
              <w:ind w:start="2862" w:end="0"/>
              <w:rPr>
                <w:color w:val="000000"/>
              </w:rPr>
            </w:pPr>
            <w:r>
              <w:rPr>
                <w:color w:val="000000"/>
              </w:rPr>
              <w:t>For the Account of</w:t>
            </w:r>
          </w:p>
        </w:tc>
        <w:tc>
          <w:tcPr>
            <w:tcW w:w="5490" w:type="dxa"/>
            <w:gridSpan w:val="2"/>
            <w:tcBorders/>
          </w:tcPr>
          <w:p>
            <w:pPr>
              <w:pStyle w:val="Normal"/>
              <w:keepNext w:val="true"/>
              <w:tabs>
                <w:tab w:val="clear" w:pos="720"/>
                <w:tab w:val="left" w:pos="360" w:leader="none"/>
              </w:tabs>
              <w:ind w:hanging="360" w:start="360" w:end="0"/>
              <w:rPr>
                <w:color w:val="FF0000"/>
              </w:rPr>
            </w:pPr>
            <w:r>
              <w:rPr>
                <w:color w:val="FF0000"/>
              </w:rPr>
              <w:t xml:space="preserve">: </w:t>
            </w:r>
            <w:r>
              <w:rPr>
                <w:color w:val="0000FF"/>
              </w:rPr>
              <w:t>please advise</w:t>
            </w:r>
          </w:p>
        </w:tc>
      </w:tr>
      <w:tr>
        <w:trPr/>
        <w:tc>
          <w:tcPr>
            <w:tcW w:w="5490" w:type="dxa"/>
            <w:tcBorders/>
          </w:tcPr>
          <w:p>
            <w:pPr>
              <w:pStyle w:val="Normal"/>
              <w:keepNext w:val="true"/>
              <w:snapToGrid w:val="false"/>
              <w:ind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FF"/>
              </w:rPr>
            </w:pPr>
            <w:r>
              <w:rPr>
                <w:color w:val="0000FF"/>
              </w:rPr>
            </w:r>
          </w:p>
        </w:tc>
      </w:tr>
      <w:tr>
        <w:trPr/>
        <w:tc>
          <w:tcPr>
            <w:tcW w:w="5490" w:type="dxa"/>
            <w:tcBorders/>
          </w:tcPr>
          <w:p>
            <w:pPr>
              <w:pStyle w:val="Normal"/>
              <w:keepNext w:val="true"/>
              <w:ind w:start="2862" w:end="0"/>
              <w:rPr>
                <w:color w:val="000000"/>
              </w:rPr>
            </w:pPr>
            <w:r>
              <w:rPr>
                <w:color w:val="000000"/>
              </w:rPr>
              <w:t>Account Number/</w:t>
            </w:r>
          </w:p>
          <w:p>
            <w:pPr>
              <w:pStyle w:val="Normal"/>
              <w:keepNext w:val="true"/>
              <w:ind w:start="2862" w:end="0"/>
              <w:rPr>
                <w:color w:val="000000"/>
              </w:rPr>
            </w:pPr>
            <w:r>
              <w:rPr>
                <w:color w:val="000000"/>
              </w:rPr>
              <w:t>CHIPS UID</w:t>
            </w:r>
          </w:p>
        </w:tc>
        <w:tc>
          <w:tcPr>
            <w:tcW w:w="5490" w:type="dxa"/>
            <w:gridSpan w:val="2"/>
            <w:tcBorders/>
          </w:tcPr>
          <w:p>
            <w:pPr>
              <w:pStyle w:val="Normal"/>
              <w:keepNext w:val="true"/>
              <w:tabs>
                <w:tab w:val="clear" w:pos="720"/>
                <w:tab w:val="left" w:pos="360" w:leader="none"/>
              </w:tabs>
              <w:snapToGrid w:val="false"/>
              <w:ind w:hanging="360" w:start="360" w:end="0"/>
              <w:rPr>
                <w:color w:val="FF0000"/>
              </w:rPr>
            </w:pPr>
            <w:r>
              <w:rPr>
                <w:color w:val="FF0000"/>
              </w:rPr>
            </w:r>
          </w:p>
          <w:p>
            <w:pPr>
              <w:pStyle w:val="Normal"/>
              <w:keepNext w:val="true"/>
              <w:tabs>
                <w:tab w:val="clear" w:pos="720"/>
                <w:tab w:val="left" w:pos="360" w:leader="none"/>
              </w:tabs>
              <w:ind w:hanging="360" w:start="360" w:end="0"/>
              <w:rPr>
                <w:color w:val="FF0000"/>
              </w:rPr>
            </w:pPr>
            <w:r>
              <w:rPr>
                <w:color w:val="FF0000"/>
              </w:rPr>
              <w:t xml:space="preserve">: </w:t>
            </w:r>
            <w:r>
              <w:rPr>
                <w:color w:val="0000FF"/>
              </w:rPr>
              <w:t>please advise</w:t>
            </w:r>
          </w:p>
        </w:tc>
      </w:tr>
      <w:tr>
        <w:trPr/>
        <w:tc>
          <w:tcPr>
            <w:tcW w:w="5490" w:type="dxa"/>
            <w:tcBorders/>
          </w:tcPr>
          <w:p>
            <w:pPr>
              <w:pStyle w:val="Normal"/>
              <w:keepNext w:val="true"/>
              <w:snapToGrid w:val="false"/>
              <w:ind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FF"/>
              </w:rPr>
            </w:pPr>
            <w:r>
              <w:rPr>
                <w:color w:val="0000FF"/>
              </w:rPr>
            </w:r>
          </w:p>
        </w:tc>
      </w:tr>
      <w:tr>
        <w:trPr/>
        <w:tc>
          <w:tcPr>
            <w:tcW w:w="5499" w:type="dxa"/>
            <w:gridSpan w:val="2"/>
            <w:tcBorders/>
          </w:tcPr>
          <w:p>
            <w:pPr>
              <w:pStyle w:val="Normal"/>
              <w:keepNext w:val="true"/>
              <w:ind w:start="2862" w:end="0"/>
              <w:rPr>
                <w:color w:val="000000"/>
              </w:rPr>
            </w:pPr>
            <w:r>
              <w:rPr>
                <w:color w:val="000000"/>
              </w:rPr>
              <w:t>Fed. ABA No.</w:t>
            </w:r>
          </w:p>
        </w:tc>
        <w:tc>
          <w:tcPr>
            <w:tcW w:w="5499" w:type="dxa"/>
            <w:tcBorders/>
          </w:tcPr>
          <w:p>
            <w:pPr>
              <w:pStyle w:val="Normal"/>
              <w:keepNext w:val="true"/>
              <w:tabs>
                <w:tab w:val="clear" w:pos="720"/>
                <w:tab w:val="left" w:pos="360" w:leader="none"/>
              </w:tabs>
              <w:ind w:hanging="360" w:start="360" w:end="0"/>
              <w:rPr>
                <w:color w:val="FF0000"/>
              </w:rPr>
            </w:pPr>
            <w:r>
              <w:rPr>
                <w:color w:val="FF0000"/>
              </w:rPr>
              <w:t xml:space="preserve">: </w:t>
            </w:r>
            <w:r>
              <w:rPr>
                <w:color w:val="0000FF"/>
              </w:rPr>
              <w:t>please advise</w:t>
            </w:r>
          </w:p>
        </w:tc>
      </w:tr>
      <w:tr>
        <w:trPr/>
        <w:tc>
          <w:tcPr>
            <w:tcW w:w="5499" w:type="dxa"/>
            <w:gridSpan w:val="2"/>
            <w:tcBorders/>
          </w:tcPr>
          <w:p>
            <w:pPr>
              <w:pStyle w:val="Normal"/>
              <w:keepNext w:val="true"/>
              <w:snapToGrid w:val="false"/>
              <w:ind w:firstLine="90" w:start="2862" w:end="0"/>
              <w:rPr>
                <w:color w:val="000000"/>
              </w:rPr>
            </w:pPr>
            <w:r>
              <w:rPr>
                <w:color w:val="000000"/>
              </w:rPr>
            </w:r>
          </w:p>
        </w:tc>
        <w:tc>
          <w:tcPr>
            <w:tcW w:w="5499" w:type="dxa"/>
            <w:tcBorders/>
          </w:tcPr>
          <w:p>
            <w:pPr>
              <w:pStyle w:val="Normal"/>
              <w:keepNext w:val="true"/>
              <w:snapToGrid w:val="false"/>
              <w:rPr>
                <w:color w:val="000000"/>
              </w:rPr>
            </w:pPr>
            <w:r>
              <w:rPr>
                <w:color w:val="000000"/>
              </w:rPr>
            </w:r>
          </w:p>
        </w:tc>
      </w:tr>
      <w:tr>
        <w:trPr/>
        <w:tc>
          <w:tcPr>
            <w:tcW w:w="5499" w:type="dxa"/>
            <w:gridSpan w:val="2"/>
            <w:tcBorders/>
          </w:tcPr>
          <w:p>
            <w:pPr>
              <w:pStyle w:val="Normal"/>
              <w:keepNext w:val="true"/>
              <w:ind w:hanging="2160" w:start="2862" w:end="0"/>
              <w:rPr>
                <w:color w:val="000000"/>
              </w:rPr>
            </w:pPr>
            <w:r>
              <w:rPr>
                <w:color w:val="000000"/>
              </w:rPr>
              <w:tab/>
              <w:t xml:space="preserve">Attn:  </w:t>
            </w:r>
          </w:p>
        </w:tc>
        <w:tc>
          <w:tcPr>
            <w:tcW w:w="5499" w:type="dxa"/>
            <w:tcBorders/>
          </w:tcPr>
          <w:p>
            <w:pPr>
              <w:pStyle w:val="Normal"/>
              <w:keepNext w:val="true"/>
              <w:rPr>
                <w:color w:val="000000"/>
              </w:rPr>
            </w:pPr>
            <w:r>
              <w:rPr>
                <w:color w:val="000000"/>
              </w:rPr>
              <w:t xml:space="preserve">: </w:t>
            </w:r>
            <w:r>
              <w:rPr>
                <w:color w:val="0000FF"/>
              </w:rPr>
              <w:t>please advise</w:t>
            </w:r>
          </w:p>
        </w:tc>
      </w:tr>
      <w:tr>
        <w:trPr/>
        <w:tc>
          <w:tcPr>
            <w:tcW w:w="5499" w:type="dxa"/>
            <w:gridSpan w:val="2"/>
            <w:tcBorders/>
          </w:tcPr>
          <w:p>
            <w:pPr>
              <w:pStyle w:val="Normal"/>
              <w:keepNext w:val="true"/>
              <w:snapToGrid w:val="false"/>
              <w:ind w:hanging="2160" w:start="2862" w:end="0"/>
              <w:rPr>
                <w:color w:val="000000"/>
              </w:rPr>
            </w:pPr>
            <w:r>
              <w:rPr>
                <w:color w:val="000000"/>
              </w:rPr>
            </w:r>
          </w:p>
        </w:tc>
        <w:tc>
          <w:tcPr>
            <w:tcW w:w="5499" w:type="dxa"/>
            <w:tcBorders/>
          </w:tcPr>
          <w:p>
            <w:pPr>
              <w:pStyle w:val="Normal"/>
              <w:keepNext w:val="true"/>
              <w:snapToGrid w:val="false"/>
              <w:rPr>
                <w:color w:val="000000"/>
              </w:rPr>
            </w:pPr>
            <w:r>
              <w:rPr>
                <w:color w:val="000000"/>
              </w:rPr>
            </w:r>
          </w:p>
        </w:tc>
      </w:tr>
    </w:tbl>
    <w:p>
      <w:pPr>
        <w:pStyle w:val="Normal"/>
        <w:jc w:val="both"/>
        <w:rPr>
          <w:color w:val="000000"/>
        </w:rPr>
      </w:pPr>
      <w:r>
        <w:rPr>
          <w:color w:val="000000"/>
        </w:rPr>
      </w:r>
    </w:p>
    <w:p>
      <w:pPr>
        <w:pStyle w:val="Normal"/>
        <w:jc w:val="both"/>
        <w:rPr>
          <w:color w:val="000000"/>
        </w:rPr>
      </w:pPr>
      <w:r>
        <w:rPr>
          <w:color w:val="000000"/>
        </w:rPr>
      </w:r>
    </w:p>
    <w:p>
      <w:pPr>
        <w:pStyle w:val="Normal"/>
        <w:rPr/>
      </w:pPr>
      <w:r>
        <w:rPr/>
        <w:t>Each payment will be made in the Contractual Currency (specified in this Confirmation, or if not specified, in U.S. Dollars).</w:t>
      </w:r>
    </w:p>
    <w:p>
      <w:pPr>
        <w:pStyle w:val="Normal"/>
        <w:rPr/>
      </w:pPr>
      <w:r>
        <w:rPr/>
      </w:r>
    </w:p>
    <w:tbl>
      <w:tblPr>
        <w:tblW w:w="10998" w:type="dxa"/>
        <w:jc w:val="start"/>
        <w:tblInd w:w="-2142" w:type="dxa"/>
        <w:tblLayout w:type="fixed"/>
        <w:tblCellMar>
          <w:top w:w="0" w:type="dxa"/>
          <w:start w:w="108" w:type="dxa"/>
          <w:bottom w:w="0" w:type="dxa"/>
          <w:end w:w="108" w:type="dxa"/>
        </w:tblCellMar>
      </w:tblPr>
      <w:tblGrid>
        <w:gridCol w:w="5499"/>
        <w:gridCol w:w="5499"/>
      </w:tblGrid>
      <w:tr>
        <w:trPr/>
        <w:tc>
          <w:tcPr>
            <w:tcW w:w="5499" w:type="dxa"/>
            <w:tcBorders/>
          </w:tcPr>
          <w:p>
            <w:pPr>
              <w:pStyle w:val="Normal"/>
              <w:snapToGrid w:val="false"/>
              <w:rPr/>
            </w:pPr>
            <w:r>
              <w:rPr/>
            </w:r>
          </w:p>
        </w:tc>
        <w:tc>
          <w:tcPr>
            <w:tcW w:w="5499" w:type="dxa"/>
            <w:tcBorders/>
          </w:tcPr>
          <w:p>
            <w:pPr>
              <w:pStyle w:val="Normal"/>
              <w:snapToGrid w:val="false"/>
              <w:rPr/>
            </w:pPr>
            <w:r>
              <w:rPr/>
            </w:r>
          </w:p>
        </w:tc>
      </w:tr>
    </w:tbl>
    <w:p>
      <w:pPr>
        <w:pStyle w:val="Normal"/>
        <w:jc w:val="both"/>
        <w:rPr/>
      </w:pPr>
      <w:r>
        <w:rPr/>
        <w:t>4.</w:t>
        <w:tab/>
      </w:r>
      <w:r>
        <w:rPr>
          <w:b/>
          <w:u w:val="single"/>
        </w:rPr>
        <w:t>General</w:t>
      </w:r>
      <w:r>
        <w:rPr>
          <w:b/>
        </w:rPr>
        <w:t>.</w:t>
      </w:r>
      <w:r>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jc w:val="both"/>
        <w:rPr/>
      </w:pPr>
      <w:r>
        <w:rPr/>
      </w:r>
    </w:p>
    <w:p>
      <w:pPr>
        <w:pStyle w:val="Normal"/>
        <w:tabs>
          <w:tab w:val="clear" w:pos="720"/>
          <w:tab w:val="left" w:pos="360" w:leader="none"/>
        </w:tabs>
        <w:jc w:val="both"/>
        <w:rPr/>
      </w:pPr>
      <w:r>
        <w:rPr/>
        <w:t>5.</w:t>
      </w:r>
      <w:r>
        <w:rPr>
          <w:b/>
        </w:rPr>
        <w:tab/>
        <w:tab/>
      </w:r>
      <w:r>
        <w:rPr>
          <w:b/>
          <w:u w:val="single"/>
        </w:rPr>
        <w:t>Representations</w:t>
      </w:r>
      <w:r>
        <w:rPr>
          <w:b/>
        </w:rPr>
        <w:t>.</w:t>
      </w:r>
      <w:r>
        <w:rPr/>
        <w:t xml:space="preserve">  To induce the other to enter into the Transaction, each party represents and warrants to the other that : (a)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u w:val="single"/>
        </w:rPr>
        <w:t>Eligible Swap Participant</w:t>
      </w:r>
      <w:r>
        <w:rPr/>
        <w:t xml:space="preserve">: it constitutes an “eligible swap participant” as such term is defined in  17 C.F.R. Section 35.1(b)(2) and this </w:t>
      </w:r>
      <w:r>
        <w:rPr>
          <w:color w:val="000000"/>
        </w:rPr>
        <w:t xml:space="preserve">Confirmation constitutes a “swap agreement” within the meaning of 17 C.F.R. Section 35.1(b)(1); and (c) </w:t>
      </w:r>
      <w:r>
        <w:rPr>
          <w:color w:val="000000"/>
          <w:u w:val="single"/>
        </w:rPr>
        <w:t>Line of Business</w:t>
      </w:r>
      <w:r>
        <w:rPr>
          <w:color w:val="000000"/>
        </w:rPr>
        <w:t>:  as of the Trade Date it is:  (i) exposed in the conduct of its business to the risk of variations in weather of the kind reflected in this Transaction and (ii) entering into this Transaction solely to offset or manage that risk; (d)</w:t>
      </w:r>
      <w:r>
        <w:rPr/>
        <w:t xml:space="preserve"> </w:t>
      </w:r>
      <w:r>
        <w:rPr>
          <w:u w:val="single"/>
        </w:rPr>
        <w:t>No Reliance and No Advisory Status</w:t>
      </w:r>
      <w:r>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(f)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I(b) of </w:t>
      </w:r>
      <w:r>
        <w:rPr>
          <w:u w:val="single"/>
        </w:rPr>
        <w:t>Annex A</w:t>
      </w:r>
      <w:r>
        <w:rPr/>
        <w:t xml:space="preserve">), at all times until termination of the Transaction.  In addition, each party covenants and agrees that it will deliver to the other party the Tax forms, documents or certificates as required pursuant to Section II(a) of </w:t>
      </w:r>
      <w:r>
        <w:rPr>
          <w:u w:val="single"/>
        </w:rPr>
        <w:t>Annex A</w:t>
      </w:r>
      <w:r>
        <w:rPr/>
        <w:t>.</w:t>
      </w:r>
    </w:p>
    <w:p>
      <w:pPr>
        <w:pStyle w:val="Normal"/>
        <w:jc w:val="both"/>
        <w:rPr>
          <w:color w:val="000000"/>
        </w:rPr>
      </w:pPr>
      <w:r>
        <w:rPr>
          <w:color w:val="000000"/>
        </w:rPr>
      </w:r>
    </w:p>
    <w:p>
      <w:pPr>
        <w:pStyle w:val="Normal"/>
        <w:jc w:val="both"/>
        <w:rPr>
          <w:color w:val="000000"/>
        </w:rPr>
      </w:pPr>
      <w:r>
        <w:rPr>
          <w:color w:val="000000"/>
        </w:rPr>
      </w:r>
    </w:p>
    <w:p>
      <w:pPr>
        <w:pStyle w:val="Normal"/>
        <w:jc w:val="both"/>
        <w:rPr/>
      </w:pPr>
      <w:r>
        <w:rPr>
          <w:color w:val="000000"/>
        </w:rPr>
        <w:t>6.</w:t>
        <w:tab/>
      </w:r>
      <w:r>
        <w:rPr>
          <w:b/>
          <w:color w:val="000000"/>
          <w:u w:val="single"/>
        </w:rPr>
        <w:t>Early Termination</w:t>
      </w:r>
      <w:r>
        <w:rPr>
          <w:b/>
          <w:color w:val="000000"/>
        </w:rPr>
        <w:t>.</w:t>
      </w:r>
      <w:r>
        <w:rPr>
          <w:color w:val="000000"/>
        </w:rPr>
        <w:t xml:space="preserve">  For purposes of Section 6(e) of the ISDA Agreement, the Second Method and Loss shall apply.</w:t>
      </w:r>
    </w:p>
    <w:p>
      <w:pPr>
        <w:pStyle w:val="Normal"/>
        <w:jc w:val="both"/>
        <w:rPr>
          <w:color w:val="000000"/>
        </w:rPr>
      </w:pPr>
      <w:r>
        <w:rPr>
          <w:color w:val="000000"/>
        </w:rPr>
      </w:r>
    </w:p>
    <w:p>
      <w:pPr>
        <w:pStyle w:val="Normal"/>
        <w:jc w:val="both"/>
        <w:rPr>
          <w:color w:val="000000"/>
        </w:rPr>
      </w:pPr>
      <w:r>
        <w:rPr>
          <w:color w:val="000000"/>
        </w:rPr>
      </w:r>
    </w:p>
    <w:p>
      <w:pPr>
        <w:pStyle w:val="Normal"/>
        <w:jc w:val="both"/>
        <w:rPr/>
      </w:pPr>
      <w:r>
        <w:rPr>
          <w:color w:val="000000"/>
        </w:rPr>
        <w:t>7.</w:t>
        <w:tab/>
      </w:r>
      <w:r>
        <w:rPr>
          <w:b/>
          <w:color w:val="000000"/>
          <w:u w:val="single"/>
        </w:rPr>
        <w:t>Governing Law/Jurisdiction</w:t>
      </w:r>
      <w:r>
        <w:rPr>
          <w:b/>
          <w:color w:val="000000"/>
        </w:rPr>
        <w:t>.</w:t>
      </w:r>
      <w:r>
        <w:rPr>
          <w:color w:val="000000"/>
        </w:rPr>
        <w:t xml:space="preserve">  This Confirmation and the ISDA Agreement will be governed by and construed in accordance with the laws of the State of New York (without reference to choice of law doctrine).</w:t>
      </w:r>
      <w:r>
        <w:rPr/>
        <w:t xml:space="preserv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w:t>
      </w:r>
      <w:r>
        <w:rPr>
          <w:color w:val="000000"/>
        </w:rPr>
        <w:t>The arbitration shall be conducted New York City, New York, and such arbitration, and any related award shall be</w:t>
      </w:r>
      <w:r>
        <w:rPr/>
        <w:t xml:space="preserve"> confidential.”</w:t>
      </w:r>
    </w:p>
    <w:p>
      <w:pPr>
        <w:pStyle w:val="Normal"/>
        <w:jc w:val="both"/>
        <w:rPr/>
      </w:pPr>
      <w:r>
        <w:rPr/>
      </w:r>
    </w:p>
    <w:p>
      <w:pPr>
        <w:pStyle w:val="Normal"/>
        <w:jc w:val="both"/>
        <w:rPr/>
      </w:pPr>
      <w:r>
        <w:rPr/>
      </w:r>
    </w:p>
    <w:p>
      <w:pPr>
        <w:pStyle w:val="Normal"/>
        <w:jc w:val="both"/>
        <w:rPr/>
      </w:pPr>
      <w:r>
        <w:rPr/>
        <w:t>8.</w:t>
        <w:tab/>
      </w:r>
      <w:r>
        <w:rPr>
          <w:b/>
          <w:u w:val="single"/>
        </w:rPr>
        <w:t>Confidentiality</w:t>
      </w:r>
      <w:r>
        <w:rPr>
          <w:b/>
        </w:rPr>
        <w:t>.</w:t>
      </w:r>
      <w:r>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9.</w:t>
        <w:tab/>
      </w:r>
      <w:r>
        <w:rPr>
          <w:b/>
          <w:u w:val="single"/>
        </w:rPr>
        <w:t>Calculation Agent</w:t>
      </w:r>
      <w:r>
        <w:rPr>
          <w:b/>
        </w:rPr>
        <w:t>.</w:t>
      </w:r>
      <w:r>
        <w:rPr/>
        <w:t xml:space="preserve">  The Calculation Agent shall be ENA.</w:t>
      </w:r>
    </w:p>
    <w:p>
      <w:pPr>
        <w:pStyle w:val="Normal"/>
        <w:jc w:val="both"/>
        <w:rPr/>
      </w:pPr>
      <w:r>
        <w:rPr/>
      </w:r>
    </w:p>
    <w:p>
      <w:pPr>
        <w:pStyle w:val="Normal"/>
        <w:tabs>
          <w:tab w:val="clear" w:pos="720"/>
          <w:tab w:val="left" w:pos="810" w:leader="none"/>
          <w:tab w:val="left" w:pos="1170" w:leader="none"/>
        </w:tabs>
        <w:jc w:val="both"/>
        <w:rPr/>
      </w:pPr>
      <w:r>
        <w:rPr/>
        <w:t>10.</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t xml:space="preserve"> </w:t>
      </w:r>
    </w:p>
    <w:p>
      <w:pPr>
        <w:pStyle w:val="Normal"/>
        <w:rPr/>
      </w:pPr>
      <w:r>
        <w:rPr/>
      </w:r>
    </w:p>
    <w:p>
      <w:pPr>
        <w:pStyle w:val="Normal"/>
        <w:jc w:val="both"/>
        <w:rPr/>
      </w:pPr>
      <w:r>
        <w:rPr/>
        <w:t>11.</w:t>
        <w:tab/>
      </w:r>
      <w:r>
        <w:rPr>
          <w:b/>
          <w:u w:val="single"/>
        </w:rPr>
        <w:t>Setoff</w:t>
      </w:r>
      <w:r>
        <w:rPr>
          <w:b/>
        </w:rPr>
        <w:t>.</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pPr>
      <w:r>
        <w:rPr/>
      </w:r>
    </w:p>
    <w:p>
      <w:pPr>
        <w:pStyle w:val="Normal"/>
        <w:ind w:firstLine="720" w:end="0"/>
        <w:jc w:val="both"/>
        <w:rPr/>
      </w:pPr>
      <w:r>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pPr>
      <w:r>
        <w:rPr/>
      </w:r>
    </w:p>
    <w:p>
      <w:pPr>
        <w:pStyle w:val="Normal"/>
        <w:rPr/>
      </w:pPr>
      <w:r>
        <w:rPr/>
        <w:t>12.</w:t>
        <w:tab/>
      </w:r>
      <w:r>
        <w:rPr>
          <w:b/>
          <w:u w:val="single"/>
        </w:rPr>
        <w:t>Offices</w:t>
      </w:r>
      <w:r>
        <w:rPr>
          <w:b/>
        </w:rPr>
        <w:t>.</w:t>
      </w:r>
    </w:p>
    <w:p>
      <w:pPr>
        <w:pStyle w:val="Normal"/>
        <w:keepNext w:val="true"/>
        <w:rPr/>
      </w:pPr>
      <w:r>
        <w:rPr/>
      </w:r>
    </w:p>
    <w:p>
      <w:pPr>
        <w:pStyle w:val="Normal"/>
        <w:keepNext w:val="true"/>
        <w:jc w:val="both"/>
        <w:rPr/>
      </w:pPr>
      <w:r>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pPr>
      <w:r>
        <w:rPr/>
      </w:r>
    </w:p>
    <w:p>
      <w:pPr>
        <w:pStyle w:val="Normal"/>
        <w:jc w:val="both"/>
        <w:rPr/>
      </w:pPr>
      <w:r>
        <w:rPr/>
        <w:tab/>
        <w:t>(b)</w:t>
        <w:tab/>
        <w:t>The office of Counterparty is and copies of any notices should be delivered to: ______________________________________________________________________________________________________________________________________, Facsimile No. _______________________.</w:t>
      </w:r>
    </w:p>
    <w:p>
      <w:pPr>
        <w:pStyle w:val="Normal"/>
        <w:jc w:val="both"/>
        <w:rPr/>
      </w:pPr>
      <w:r>
        <w:rPr/>
      </w:r>
    </w:p>
    <w:p>
      <w:pPr>
        <w:pStyle w:val="Normal"/>
        <w:jc w:val="both"/>
        <w:rPr/>
      </w:pPr>
      <w:r>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pPr>
      <w:r>
        <w:rPr/>
        <w:t>Enron North America Corp. is pleased to have entered into this Transaction with you.</w:t>
      </w:r>
    </w:p>
    <w:p>
      <w:pPr>
        <w:pStyle w:val="Normal"/>
        <w:rPr/>
      </w:pPr>
      <w:r>
        <w:rPr/>
      </w:r>
    </w:p>
    <w:p>
      <w:pPr>
        <w:pStyle w:val="Index1"/>
        <w:rPr/>
      </w:pPr>
      <w:r>
        <w:rPr/>
        <w:t>Yours sincerely,</w:t>
      </w:r>
    </w:p>
    <w:p>
      <w:pPr>
        <w:pStyle w:val="Normal"/>
        <w:keepNext w:val="true"/>
        <w:rPr/>
      </w:pPr>
      <w:r>
        <w:rPr/>
      </w:r>
    </w:p>
    <w:p>
      <w:pPr>
        <w:pStyle w:val="Normal"/>
        <w:keepNext w:val="true"/>
        <w:rPr>
          <w:b/>
        </w:rPr>
      </w:pPr>
      <w:r>
        <w:rPr>
          <w:b/>
        </w:rPr>
        <w:t>ENRON NORTH AMERICA CORP.</w:t>
      </w:r>
    </w:p>
    <w:p>
      <w:pPr>
        <w:pStyle w:val="Normal"/>
        <w:keepNext w:val="true"/>
        <w:rPr>
          <w:b/>
        </w:rPr>
      </w:pPr>
      <w:r>
        <w:rPr>
          <w:b/>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Heading5"/>
        <w:ind w:hanging="0" w:start="0"/>
        <w:rPr>
          <w:color w:val="0000FF"/>
        </w:rPr>
      </w:pPr>
      <w:r>
        <w:rPr>
          <w:color w:val="0000FF"/>
        </w:rPr>
        <w:t>BAREP ALIZE-EURO FUND</w:t>
      </w:r>
    </w:p>
    <w:p>
      <w:pPr>
        <w:pStyle w:val="Normal"/>
        <w:keepNext w:val="true"/>
        <w:rPr>
          <w:color w:val="0000FF"/>
        </w:rPr>
      </w:pPr>
      <w:r>
        <w:rPr>
          <w:color w:val="0000FF"/>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sectPr>
          <w:headerReference w:type="default" r:id="rId3"/>
          <w:footerReference w:type="default" r:id="rId4"/>
          <w:type w:val="nextPage"/>
          <w:pgSz w:w="12240" w:h="15840"/>
          <w:pgMar w:left="1440" w:right="1440" w:gutter="0" w:header="720" w:top="1440" w:footer="720" w:bottom="1440"/>
          <w:pgNumType w:start="1" w:fmt="decimal"/>
          <w:formProt w:val="false"/>
          <w:textDirection w:val="lrTb"/>
          <w:docGrid w:type="default" w:linePitch="360" w:charSpace="0"/>
        </w:sectPr>
      </w:pPr>
    </w:p>
    <w:p>
      <w:pPr>
        <w:pStyle w:val="Normal"/>
        <w:keepNext w:val="true"/>
        <w:spacing w:lineRule="exact" w:line="240"/>
        <w:jc w:val="center"/>
        <w:rPr>
          <w:b/>
        </w:rPr>
      </w:pPr>
      <w:r>
        <w:rPr>
          <w:b/>
        </w:rPr>
      </w:r>
    </w:p>
    <w:p>
      <w:pPr>
        <w:sectPr>
          <w:type w:val="continuous"/>
          <w:pgSz w:w="12240" w:h="15840"/>
          <w:pgMar w:left="1440" w:right="1440" w:gutter="0" w:header="720" w:top="1440" w:footer="720" w:bottom="1440"/>
          <w:formProt w:val="false"/>
          <w:textDirection w:val="lrTb"/>
          <w:docGrid w:type="default" w:linePitch="360" w:charSpace="0"/>
        </w:sectPr>
        <w:pStyle w:val="Normal"/>
        <w:keepNext w:val="true"/>
        <w:spacing w:lineRule="exact" w:line="240"/>
        <w:jc w:val="center"/>
        <w:rPr>
          <w:b/>
        </w:rPr>
      </w:pPr>
      <w:r>
        <w:rPr>
          <w:b/>
        </w:rPr>
      </w:r>
      <w:r>
        <w:br w:type="page"/>
      </w:r>
    </w:p>
    <w:p>
      <w:pPr>
        <w:pStyle w:val="Normal"/>
        <w:keepNext w:val="true"/>
        <w:spacing w:lineRule="exact" w:line="240"/>
        <w:jc w:val="center"/>
        <w:rPr>
          <w:b/>
        </w:rPr>
      </w:pPr>
      <w:r>
        <w:rPr>
          <w:b/>
        </w:rPr>
        <w:t>ANNEX A</w:t>
      </w:r>
    </w:p>
    <w:p>
      <w:pPr>
        <w:pStyle w:val="Normal"/>
        <w:keepNext w:val="true"/>
        <w:spacing w:lineRule="exact" w:line="240"/>
        <w:jc w:val="center"/>
        <w:rPr>
          <w:b/>
        </w:rPr>
      </w:pPr>
      <w:r>
        <w:rPr>
          <w:b/>
        </w:rPr>
      </w:r>
    </w:p>
    <w:p>
      <w:pPr>
        <w:pStyle w:val="Normal"/>
        <w:keepNext w:val="true"/>
        <w:spacing w:lineRule="exact" w:line="240"/>
        <w:jc w:val="center"/>
        <w:rPr>
          <w:b/>
        </w:rPr>
      </w:pPr>
      <w:r>
        <w:rPr>
          <w:b/>
        </w:rPr>
        <w:t>U.S. WITHHOLDING TAX</w:t>
      </w:r>
    </w:p>
    <w:p>
      <w:pPr>
        <w:pStyle w:val="Normal"/>
        <w:keepNext w:val="true"/>
        <w:spacing w:lineRule="exact" w:line="240"/>
        <w:jc w:val="center"/>
        <w:rPr>
          <w:b/>
        </w:rPr>
      </w:pPr>
      <w:r>
        <w:rPr>
          <w:b/>
        </w:rPr>
      </w:r>
    </w:p>
    <w:p>
      <w:pPr>
        <w:pStyle w:val="Normal"/>
        <w:keepNext w:val="true"/>
        <w:jc w:val="center"/>
        <w:rPr>
          <w:b/>
        </w:rPr>
      </w:pPr>
      <w:r>
        <w:rPr>
          <w:b/>
        </w:rPr>
        <w:t>Party A: Enron North America Corp.</w:t>
      </w:r>
    </w:p>
    <w:p>
      <w:pPr>
        <w:pStyle w:val="Heading6"/>
        <w:ind w:hanging="0" w:start="0"/>
        <w:rPr/>
      </w:pPr>
      <w:r>
        <w:rPr/>
        <w:t>Party B:  Barep Alize-Euro Fund</w:t>
      </w:r>
    </w:p>
    <w:p>
      <w:pPr>
        <w:pStyle w:val="Normal"/>
        <w:tabs>
          <w:tab w:val="left" w:pos="720" w:leader="none"/>
          <w:tab w:val="left" w:pos="1170" w:leader="none"/>
        </w:tabs>
        <w:spacing w:lineRule="exact" w:line="480"/>
        <w:jc w:val="both"/>
        <w:rPr>
          <w:b/>
        </w:rPr>
      </w:pPr>
      <w:r>
        <w:rPr>
          <w:b/>
        </w:rPr>
        <w:t>I.</w:t>
        <w:tab/>
        <w:t>Tax Representations.</w:t>
      </w:r>
    </w:p>
    <w:p>
      <w:pPr>
        <w:pStyle w:val="Normal"/>
        <w:spacing w:lineRule="exact" w:line="240" w:before="240" w:after="0"/>
        <w:ind w:hanging="720" w:start="720" w:end="0"/>
        <w:jc w:val="both"/>
        <w:rPr/>
      </w:pPr>
      <w:r>
        <w:rPr>
          <w:b/>
        </w:rPr>
        <w:t>(a)</w:t>
        <w:tab/>
        <w:t xml:space="preserve">Payer Representations.  </w:t>
      </w:r>
      <w:r>
        <w:rPr/>
        <w:t>For the purpose of Section 3(e) of the ISDA Agreement,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rPr>
        <w:t>provided</w:t>
      </w:r>
      <w:r>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hanging="720" w:start="720" w:end="0"/>
        <w:jc w:val="both"/>
        <w:rPr/>
      </w:pPr>
      <w:r>
        <w:rPr>
          <w:b/>
        </w:rPr>
        <w:t>(b)</w:t>
        <w:tab/>
        <w:t>Payee Representations.</w:t>
      </w:r>
      <w:r>
        <w:rPr/>
        <w:t xml:space="preserve">  For the purpose of Section 3(f) of the ISDA Agreement, Party A and Party B make the following representation:</w:t>
      </w:r>
    </w:p>
    <w:p>
      <w:pPr>
        <w:pStyle w:val="Normal"/>
        <w:spacing w:lineRule="exact" w:line="240" w:before="240" w:after="0"/>
        <w:ind w:start="720" w:end="0"/>
        <w:jc w:val="both"/>
        <w:rPr/>
      </w:pPr>
      <w:r>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Confirmation and the ISDA Agreement, and no such payment is attributable to a trade or business carried on by it through a permanent establishment in the Specified Jurisdiction.</w:t>
      </w:r>
    </w:p>
    <w:p>
      <w:pPr>
        <w:pStyle w:val="Normal"/>
        <w:spacing w:lineRule="exact" w:line="240" w:before="240" w:after="0"/>
        <w:jc w:val="both"/>
        <w:rPr/>
      </w:pPr>
      <w:r>
        <w:rPr/>
        <w:t>"</w:t>
      </w:r>
      <w:r>
        <w:rPr>
          <w:b/>
        </w:rPr>
        <w:t>Specified Treaty</w:t>
      </w:r>
      <w:r>
        <w:rPr/>
        <w:t>" means the income tax treaty between the United States and France</w:t>
      </w:r>
      <w:r>
        <w:rPr>
          <w:color w:val="FF0000"/>
        </w:rPr>
        <w:t>.</w:t>
      </w:r>
    </w:p>
    <w:p>
      <w:pPr>
        <w:pStyle w:val="Normal"/>
        <w:spacing w:lineRule="exact" w:line="240" w:before="240" w:after="0"/>
        <w:jc w:val="both"/>
        <w:rPr/>
      </w:pPr>
      <w:r>
        <w:rPr/>
        <w:t>"</w:t>
      </w:r>
      <w:r>
        <w:rPr>
          <w:b/>
        </w:rPr>
        <w:t>Specified Jurisdiction</w:t>
      </w:r>
      <w:r>
        <w:rPr/>
        <w:t>" means, with respect to Party A, France</w:t>
      </w:r>
      <w:r>
        <w:rPr>
          <w:color w:val="FF0000"/>
        </w:rPr>
        <w:t>.</w:t>
      </w:r>
    </w:p>
    <w:p>
      <w:pPr>
        <w:pStyle w:val="Normal"/>
        <w:spacing w:lineRule="exact" w:line="240" w:before="240" w:after="0"/>
        <w:jc w:val="both"/>
        <w:rPr/>
      </w:pPr>
      <w:r>
        <w:rPr/>
        <w:t>"</w:t>
      </w:r>
      <w:r>
        <w:rPr>
          <w:b/>
        </w:rPr>
        <w:t>Specified Jurisdiction</w:t>
      </w:r>
      <w:r>
        <w:rPr/>
        <w:t>" means, with respect to Party B, the United States.</w:t>
      </w:r>
    </w:p>
    <w:p>
      <w:pPr>
        <w:pStyle w:val="Normal"/>
        <w:spacing w:lineRule="exact" w:line="480"/>
        <w:jc w:val="both"/>
        <w:rPr>
          <w:b/>
        </w:rPr>
      </w:pPr>
      <w:r>
        <w:rPr>
          <w:b/>
        </w:rPr>
        <w:t>II.</w:t>
        <w:tab/>
        <w:t>Agreement to Deliver Documents.</w:t>
      </w:r>
    </w:p>
    <w:p>
      <w:pPr>
        <w:pStyle w:val="Normal"/>
        <w:spacing w:lineRule="exact" w:line="240" w:before="240" w:after="0"/>
        <w:jc w:val="both"/>
        <w:rPr/>
      </w:pPr>
      <w:r>
        <w:rPr/>
        <w:t>For the purpose of Section 4(a) of the ISDA Agreement, the Tax forms, documents, or certificates to be delivered are:</w:t>
      </w:r>
    </w:p>
    <w:p>
      <w:pPr>
        <w:pStyle w:val="Normal"/>
        <w:spacing w:lineRule="exact" w:line="240" w:before="240" w:after="0"/>
        <w:ind w:hanging="720" w:start="720" w:end="0"/>
        <w:jc w:val="both"/>
        <w:rPr/>
      </w:pPr>
      <w:r>
        <w:rPr/>
        <w:t>(a)</w:t>
        <w:tab/>
        <w:t>Party B agrees to complete (accurately and in a manner reasonably satisfactory to Party A), execute, and deliver to Party A a United States Internal Revenue Service Form W-8BEN, or any successor form, (i) before the first Scheduled Payment Date under this Confirmation and the ISDA Agreement, (ii) before December 31st of each third successive calendar year, (iii) promptly upon reasonable demand by Party A, and (iv) promptly upon learning that any such form previously provided by Party B has become obsolete or incorrect.</w:t>
      </w:r>
    </w:p>
    <w:p>
      <w:pPr>
        <w:pStyle w:val="Normal"/>
        <w:spacing w:lineRule="exact" w:line="240"/>
        <w:jc w:val="both"/>
        <w:rPr>
          <w:b/>
        </w:rPr>
      </w:pPr>
      <w:r>
        <w:rPr>
          <w:b/>
        </w:rPr>
      </w:r>
    </w:p>
    <w:p>
      <w:pPr>
        <w:pStyle w:val="Normal"/>
        <w:spacing w:lineRule="exact" w:line="240"/>
        <w:jc w:val="both"/>
        <w:rPr/>
      </w:pPr>
      <w:r>
        <w:rPr>
          <w:b/>
        </w:rPr>
        <w:t>III.</w:t>
        <w:tab/>
        <w:t xml:space="preserve">Definitions. </w:t>
      </w:r>
      <w:r>
        <w:rPr/>
        <w:t xml:space="preserve">  Capitalized terms not otherwise defined in this Annex A shall have the meaning set forth in this Confirmation or the ISDA Agreement.</w:t>
      </w:r>
    </w:p>
    <w:p>
      <w:pPr>
        <w:pStyle w:val="Normal"/>
        <w:rPr/>
      </w:pPr>
      <w:r>
        <w:rPr/>
      </w:r>
    </w:p>
    <w:sectPr>
      <w:headerReference w:type="default" r:id="rId5"/>
      <w:footerReference w:type="default" r:id="rId6"/>
      <w:type w:val="nextPage"/>
      <w:pgSz w:w="12240" w:h="15840"/>
      <w:pgMar w:left="1440" w:right="1440" w:gutter="0" w:header="720" w:top="986" w:footer="720" w:bottom="135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
  </w:p>
  <w:p>
    <w:pPr>
      <w:pStyle w:val="Footer"/>
      <w:rPr>
        <w:rStyle w:val="PageNumber"/>
        <w:sz w:val="16"/>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
  </w:p>
  <w:p>
    <w:pPr>
      <w:pStyle w:val="Footer"/>
      <w:rPr>
        <w:rStyle w:val="PageNumber"/>
        <w:sz w:val="16"/>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sz w:val="26"/>
      </w:rPr>
      <w:t xml:space="preserve">                                                         </w:t>
    </w:r>
    <w:r>
      <w:rPr/>
      <w:t>WR</w:t>
    </w:r>
    <w:r>
      <w:rPr>
        <w:color w:val="FF0000"/>
      </w:rPr>
      <w:t>979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Contract No. WR</w:t>
    </w:r>
    <w:r>
      <w:rPr>
        <w:color w:val="FF0000"/>
        <w:sz w:val="20"/>
      </w:rPr>
      <w:t>###</w:t>
    </w:r>
  </w:p>
  <w:p>
    <w:pPr>
      <w:pStyle w:val="Header"/>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paragraph" w:styleId="Heading5">
    <w:name w:val="heading 5"/>
    <w:basedOn w:val="Normal"/>
    <w:next w:val="Normal"/>
    <w:qFormat/>
    <w:pPr>
      <w:keepNext w:val="true"/>
      <w:numPr>
        <w:ilvl w:val="4"/>
        <w:numId w:val="1"/>
      </w:numPr>
      <w:outlineLvl w:val="4"/>
    </w:pPr>
    <w:rPr>
      <w:b/>
      <w:color w:val="000000"/>
    </w:rPr>
  </w:style>
  <w:style w:type="paragraph" w:styleId="Heading6">
    <w:name w:val="heading 6"/>
    <w:basedOn w:val="Normal"/>
    <w:next w:val="Normal"/>
    <w:qFormat/>
    <w:pPr>
      <w:keepNext w:val="true"/>
      <w:numPr>
        <w:ilvl w:val="5"/>
        <w:numId w:val="1"/>
      </w:numPr>
      <w:jc w:val="center"/>
      <w:outlineLvl w:val="5"/>
    </w:pPr>
    <w:rPr>
      <w:b/>
      <w:color w:val="00000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CommentReference">
    <w:name w:val="Comment Reference"/>
    <w:basedOn w:val="DefaultParagraphFont"/>
    <w:qFormat/>
    <w:rPr>
      <w:sz w:val="16"/>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keepNext w:val="true"/>
    </w:pPr>
    <w:rPr>
      <w:color w:val="FF0000"/>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CommentText">
    <w:name w:val="Comment Text"/>
    <w:basedOn w:val="Normal"/>
    <w:qFormat/>
    <w:pPr/>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2000-09-18T12:15:00Z</dcterms:created>
  <dc:creator>mheard</dc:creator>
  <dc:description/>
  <dc:language>en-CA</dc:language>
  <cp:lastModifiedBy>ccisnero</cp:lastModifiedBy>
  <cp:lastPrinted>2000-08-24T13:20:00Z</cp:lastPrinted>
  <dcterms:modified xsi:type="dcterms:W3CDTF">2000-09-18T12:15:00Z</dcterms:modified>
  <cp:revision>2</cp:revision>
  <dc:subject/>
  <dc:title>“DEEMED ISDA” CONFIRMATION</dc:title>
</cp:coreProperties>
</file>