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b/>
          <w:sz w:val="24"/>
        </w:rPr>
      </w:pPr>
      <w:r>
        <w:rPr>
          <w:b/>
          <w:sz w:val="24"/>
        </w:rPr>
        <w:t>DRAFT/SEPTEMBER 14, 2000</w:t>
      </w:r>
    </w:p>
    <w:p>
      <w:pPr>
        <w:pStyle w:val="Normal"/>
        <w:rPr>
          <w:b/>
          <w:sz w:val="24"/>
        </w:rPr>
      </w:pPr>
      <w:r>
        <w:rPr>
          <w:b/>
          <w:sz w:val="24"/>
        </w:rPr>
      </w:r>
    </w:p>
    <w:p>
      <w:pPr>
        <w:pStyle w:val="BodyText3"/>
        <w:rPr/>
      </w:pPr>
      <w:r>
        <w:rPr/>
        <w:t xml:space="preserve">Bannantine Message (Internal) to ESA Employees </w:t>
      </w:r>
    </w:p>
    <w:p>
      <w:pPr>
        <w:pStyle w:val="Normal"/>
        <w:rPr>
          <w:sz w:val="24"/>
        </w:rPr>
      </w:pPr>
      <w:r>
        <w:rPr>
          <w:sz w:val="24"/>
        </w:rPr>
      </w:r>
    </w:p>
    <w:p>
      <w:pPr>
        <w:pStyle w:val="Normal"/>
        <w:rPr/>
      </w:pPr>
      <w:r>
        <w:rPr>
          <w:sz w:val="24"/>
        </w:rPr>
        <w:t xml:space="preserve">I want to speak with you about </w:t>
      </w:r>
      <w:r>
        <w:rPr>
          <w:color w:val="000000"/>
          <w:sz w:val="24"/>
          <w:lang w:eastAsia="en-US"/>
        </w:rPr>
        <w:t xml:space="preserve">the significance of the organizational changes that were recently announced by the Office of the Chairman, involving the transfer of the management of CALME”s Colombia and Venezuela businesses to Enron South America.  </w:t>
      </w:r>
    </w:p>
    <w:p>
      <w:pPr>
        <w:pStyle w:val="Normal"/>
        <w:rPr>
          <w:color w:val="000000"/>
          <w:sz w:val="24"/>
          <w:lang w:eastAsia="en-US"/>
        </w:rPr>
      </w:pPr>
      <w:r>
        <w:rPr>
          <w:color w:val="000000"/>
          <w:sz w:val="24"/>
          <w:lang w:eastAsia="en-US"/>
        </w:rPr>
      </w:r>
    </w:p>
    <w:p>
      <w:pPr>
        <w:pStyle w:val="Normal"/>
        <w:rPr>
          <w:sz w:val="24"/>
        </w:rPr>
      </w:pPr>
      <w:r>
        <w:rPr>
          <w:sz w:val="24"/>
        </w:rPr>
        <w:t xml:space="preserve">The decision to reorganize the CALME group reflects Enron’s continuing commitment to grow the company by maximizing both our financial and intellectual capital. Enron’s success has been in large part because of its innovation and ability to identify new businesses that allow us to create ROE faster with less capital investment. </w:t>
      </w:r>
    </w:p>
    <w:p>
      <w:pPr>
        <w:pStyle w:val="Normal"/>
        <w:rPr>
          <w:sz w:val="24"/>
        </w:rPr>
      </w:pPr>
      <w:r>
        <w:rPr>
          <w:sz w:val="24"/>
        </w:rPr>
      </w:r>
    </w:p>
    <w:p>
      <w:pPr>
        <w:pStyle w:val="Normal"/>
        <w:rPr>
          <w:sz w:val="24"/>
        </w:rPr>
      </w:pPr>
      <w:r>
        <w:rPr>
          <w:sz w:val="24"/>
        </w:rPr>
        <w:t xml:space="preserve">Anyone who has watched Enron grow from a domestic natural gas pipeline company into a global leader in energy services, natural gas and communications knows that our greatest strength is our ability to recognize new opportunities and then adapt and change our business to seize these opportunities.  In practice, this means ensuring that our current assets are providing the best shareholder value possible, as well as pursuing those opportunities that are less capital intensive and take advantage of the changing marketplace to offer new products and services. </w:t>
      </w:r>
    </w:p>
    <w:p>
      <w:pPr>
        <w:pStyle w:val="Style19"/>
        <w:rPr>
          <w:rFonts w:ascii="Times New Roman" w:hAnsi="Times New Roman" w:cs="Times New Roman"/>
          <w:sz w:val="24"/>
          <w:lang w:eastAsia="en-CA"/>
        </w:rPr>
      </w:pPr>
      <w:r>
        <w:rPr>
          <w:rFonts w:cs="Times New Roman" w:ascii="Times New Roman" w:hAnsi="Times New Roman"/>
          <w:sz w:val="24"/>
          <w:lang w:eastAsia="en-CA"/>
        </w:rPr>
      </w:r>
    </w:p>
    <w:p>
      <w:pPr>
        <w:pStyle w:val="Normal"/>
        <w:rPr/>
      </w:pPr>
      <w:r>
        <w:rPr>
          <w:sz w:val="24"/>
        </w:rPr>
        <w:t>At ESA we have started to implement these new business paradigms and this restructuring creates new opportunities for our business unit.</w:t>
      </w:r>
      <w:r>
        <w:rPr/>
        <w:t xml:space="preserve">  </w:t>
      </w:r>
      <w:r>
        <w:rPr>
          <w:sz w:val="24"/>
        </w:rPr>
        <w:t xml:space="preserve">We will absorb the existing business activities in Venezuela and Columbia and simultaneously implement an organizational strategy to reduce costs by consolidating a number of positions to more efficiently utilize our local and Houston-based resources. </w:t>
      </w:r>
    </w:p>
    <w:p>
      <w:pPr>
        <w:pStyle w:val="Normal"/>
        <w:rPr>
          <w:sz w:val="24"/>
        </w:rPr>
      </w:pPr>
      <w:r>
        <w:rPr>
          <w:sz w:val="24"/>
        </w:rPr>
      </w:r>
    </w:p>
    <w:p>
      <w:pPr>
        <w:pStyle w:val="Heading"/>
        <w:jc w:val="start"/>
        <w:rPr/>
      </w:pPr>
      <w:r>
        <w:rPr/>
        <w:t>This is a strategic reorganization that allows us to lower overhead expenses and free up capital for high growth businesses. While this rationalization plan will have limited impact on ESA staff, those affected will be contacted by their supervisors and HR this week.  Otherwise, it’s business as usual.</w:t>
      </w:r>
    </w:p>
    <w:p>
      <w:pPr>
        <w:pStyle w:val="Normal"/>
        <w:rPr>
          <w:sz w:val="24"/>
        </w:rPr>
      </w:pPr>
      <w:r>
        <w:rPr>
          <w:sz w:val="24"/>
        </w:rPr>
      </w:r>
    </w:p>
    <w:p>
      <w:pPr>
        <w:pStyle w:val="Style19"/>
        <w:spacing w:lineRule="atLeast" w:line="240"/>
        <w:rPr/>
      </w:pPr>
      <w:r>
        <w:rPr>
          <w:rFonts w:cs="Times New Roman" w:ascii="Times New Roman" w:hAnsi="Times New Roman"/>
        </w:rPr>
        <w:t>We are also evaluating the sale of some ESA assets, including Elektro and our shares in the gas distribution units, so that we can focus our attention on the development of</w:t>
      </w:r>
      <w:r>
        <w:rPr/>
        <w:t xml:space="preserve"> </w:t>
      </w:r>
      <w:r>
        <w:rPr>
          <w:rFonts w:cs="Times New Roman" w:ascii="Times New Roman" w:hAnsi="Times New Roman"/>
        </w:rPr>
        <w:t>a business model that is similar to the one we have in the U.S. and Europe.  This decision reflects both our confidence in the promise of Brazil and the South American markets and our commitment to continue to do business in the region—whether as an energy transporter, distributor and generator, or a provider of energy services.</w:t>
      </w:r>
    </w:p>
    <w:p>
      <w:pPr>
        <w:pStyle w:val="Style19"/>
        <w:spacing w:lineRule="atLeast" w:line="240"/>
        <w:rPr>
          <w:rFonts w:ascii="Times New Roman" w:hAnsi="Times New Roman" w:cs="Times New Roman"/>
        </w:rPr>
      </w:pPr>
      <w:r>
        <w:rPr>
          <w:rFonts w:cs="Times New Roman" w:ascii="Times New Roman" w:hAnsi="Times New Roman"/>
        </w:rPr>
      </w:r>
    </w:p>
    <w:p>
      <w:pPr>
        <w:pStyle w:val="Style19"/>
        <w:spacing w:lineRule="atLeast" w:line="240"/>
        <w:rPr/>
      </w:pPr>
      <w:r>
        <w:rPr>
          <w:rFonts w:cs="Times New Roman" w:ascii="Times New Roman" w:hAnsi="Times New Roman"/>
        </w:rPr>
        <w:t xml:space="preserve">We are </w:t>
      </w:r>
      <w:r>
        <w:rPr>
          <w:rFonts w:cs="Times New Roman" w:ascii="Times New Roman" w:hAnsi="Times New Roman"/>
          <w:color w:val="000000"/>
        </w:rPr>
        <w:t xml:space="preserve">excited and optimistic about our prospects because adding Colombia and Venezuela expands ESA’s  presence throughout South America and increases our economies of scale.  The 60.000 MW Brazilian Power Market means new business opportunities, and we see the strong potential for commodity trading and risk management services to extend to Brazil and grow in Argentina.  </w:t>
      </w:r>
      <w:r>
        <w:rPr>
          <w:rFonts w:cs="Times New Roman" w:ascii="Times New Roman" w:hAnsi="Times New Roman"/>
          <w:lang w:eastAsia="en-CA"/>
        </w:rPr>
        <w:t xml:space="preserve">While our focus on products may be evolving, our long-standing commitment to the region is strong. </w:t>
      </w:r>
    </w:p>
    <w:p>
      <w:pPr>
        <w:pStyle w:val="Normal"/>
        <w:rPr>
          <w:rFonts w:ascii="Times New Roman" w:hAnsi="Times New Roman" w:cs="Times New Roman"/>
          <w:color w:val="000000"/>
          <w:sz w:val="24"/>
          <w:lang w:eastAsia="en-US"/>
        </w:rPr>
      </w:pPr>
      <w:r>
        <w:rPr>
          <w:rFonts w:cs="Times New Roman"/>
          <w:color w:val="000000"/>
          <w:sz w:val="24"/>
          <w:lang w:eastAsia="en-US"/>
        </w:rPr>
      </w:r>
    </w:p>
    <w:p>
      <w:pPr>
        <w:pStyle w:val="Style19"/>
        <w:rPr>
          <w:rFonts w:ascii="Times New Roman" w:hAnsi="Times New Roman" w:cs="Times New Roman"/>
          <w:color w:val="000000"/>
          <w:lang w:eastAsia="en-CA"/>
        </w:rPr>
      </w:pPr>
      <w:r>
        <w:rPr>
          <w:rFonts w:cs="Times New Roman" w:ascii="Times New Roman" w:hAnsi="Times New Roman"/>
        </w:rPr>
        <w:t>You all should be proud of our achievements, and we are very excited about the possibilities awaiting us</w:t>
      </w:r>
      <w:r>
        <w:rPr/>
        <w:t xml:space="preserve">.  </w:t>
      </w:r>
      <w:r>
        <w:rPr>
          <w:rFonts w:cs="Times New Roman" w:ascii="Times New Roman" w:hAnsi="Times New Roman"/>
          <w:lang w:eastAsia="en-CA"/>
        </w:rPr>
        <w:t>Thanks for all of your good work, and we look forward to working with you as we pursue these new opportunities.</w:t>
        <w:br/>
      </w:r>
    </w:p>
    <w:p>
      <w:pPr>
        <w:pStyle w:val="Normal"/>
        <w:rPr>
          <w:rFonts w:ascii="Times New Roman" w:hAnsi="Times New Roman" w:cs="Times New Roman"/>
          <w:color w:val="000000"/>
          <w:lang w:eastAsia="en-CA"/>
        </w:rPr>
      </w:pPr>
      <w:r>
        <w:rPr>
          <w:rFonts w:cs="Times New Roman"/>
          <w:color w:val="000000"/>
          <w:lang w:eastAsia="en-CA"/>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jc w:val="center"/>
    </w:pPr>
    <w:rPr>
      <w:color w:val="000000"/>
      <w:sz w:val="24"/>
      <w:lang w:eastAsia="en-US"/>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3">
    <w:name w:val="Body Text 3"/>
    <w:basedOn w:val="Normal"/>
    <w:qFormat/>
    <w:pPr/>
    <w:rPr>
      <w:b/>
      <w:sz w:val="24"/>
    </w:rPr>
  </w:style>
  <w:style w:type="paragraph" w:styleId="Style19">
    <w:name w:val="Style19"/>
    <w:qFormat/>
    <w:pPr>
      <w:widowControl/>
      <w:bidi w:val="0"/>
    </w:pPr>
    <w:rPr>
      <w:rFonts w:ascii="Arial" w:hAnsi="Arial" w:eastAsia="Times New Roman" w:cs="Arial"/>
      <w:color w:val="auto"/>
      <w:sz w:val="24"/>
      <w:szCs w:val="20"/>
      <w:lang w:val="en-US" w:eastAsia="en-US"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2000-09-11T15:23:00Z</dcterms:created>
  <dc:creator>Enron Technology</dc:creator>
  <dc:description/>
  <dc:language>en-CA</dc:language>
  <cp:lastModifiedBy>Enron Technology</cp:lastModifiedBy>
  <dcterms:modified xsi:type="dcterms:W3CDTF">2000-09-15T15:24:00Z</dcterms:modified>
  <cp:revision>17</cp:revision>
  <dc:subject/>
  <dc:title>DRAFT/SEPTEMBER 11, 2000</dc:title>
</cp:coreProperties>
</file>