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000000"/>
        </w:rPr>
      </w:pPr>
      <w:r>
        <w:rPr>
          <w:rFonts w:cs="Arial" w:ascii="Arial" w:hAnsi="Arial"/>
          <w:color w:val="000000"/>
        </w:rPr>
        <w:t>Daily Bankruptcy Review, Sept. 12, 2000</w:t>
      </w:r>
    </w:p>
    <w:p>
      <w:pPr>
        <w:pStyle w:val="Normal"/>
        <w:rPr>
          <w:rFonts w:ascii="Arial" w:hAnsi="Arial" w:cs="Arial"/>
          <w:b/>
          <w:color w:val="000000"/>
          <w:sz w:val="29"/>
        </w:rPr>
      </w:pPr>
      <w:r>
        <w:rPr>
          <w:rFonts w:cs="Arial" w:ascii="Arial" w:hAnsi="Arial"/>
          <w:b/>
          <w:color w:val="000000"/>
          <w:sz w:val="29"/>
        </w:rPr>
      </w:r>
    </w:p>
    <w:p>
      <w:pPr>
        <w:pStyle w:val="Normal"/>
        <w:rPr>
          <w:rFonts w:ascii="Arial" w:hAnsi="Arial" w:cs="Arial"/>
          <w:b/>
          <w:color w:val="000000"/>
          <w:sz w:val="29"/>
        </w:rPr>
      </w:pPr>
      <w:r>
        <w:rPr>
          <w:rFonts w:cs="Arial" w:ascii="Arial" w:hAnsi="Arial"/>
          <w:b/>
          <w:color w:val="000000"/>
          <w:sz w:val="29"/>
        </w:rPr>
        <w:t>With Lott Letter, BMA Urges Move On Bankruptcy Reform</w:t>
      </w:r>
    </w:p>
    <w:p>
      <w:pPr>
        <w:pStyle w:val="Normal"/>
        <w:rPr>
          <w:rFonts w:ascii="Arial" w:hAnsi="Arial" w:cs="Arial"/>
          <w:b/>
          <w:color w:val="000000"/>
          <w:sz w:val="29"/>
        </w:rPr>
      </w:pPr>
      <w:r>
        <w:rPr>
          <w:rFonts w:cs="Arial" w:ascii="Arial" w:hAnsi="Arial"/>
          <w:b/>
          <w:color w:val="000000"/>
          <w:sz w:val="29"/>
        </w:rPr>
      </w:r>
    </w:p>
    <w:p>
      <w:pPr>
        <w:pStyle w:val="Normal"/>
        <w:rPr>
          <w:color w:val="000000"/>
          <w:sz w:val="23"/>
        </w:rPr>
      </w:pPr>
      <w:r>
        <w:rPr>
          <w:color w:val="000000"/>
          <w:sz w:val="23"/>
        </w:rPr>
        <w:t>The Bond Market Association is hoping to light a fire under key Congressional negotiators in a bid to jump-start stalled talks over legislation aimed at reforming the nation’s bankruptcy laws.</w:t>
      </w:r>
    </w:p>
    <w:p>
      <w:pPr>
        <w:pStyle w:val="Normal"/>
        <w:rPr>
          <w:color w:val="000000"/>
          <w:sz w:val="23"/>
        </w:rPr>
      </w:pPr>
      <w:r>
        <w:rPr>
          <w:color w:val="000000"/>
          <w:sz w:val="23"/>
        </w:rPr>
      </w:r>
    </w:p>
    <w:p>
      <w:pPr>
        <w:pStyle w:val="Normal"/>
        <w:rPr>
          <w:color w:val="000000"/>
          <w:sz w:val="23"/>
        </w:rPr>
      </w:pPr>
      <w:r>
        <w:rPr>
          <w:color w:val="000000"/>
          <w:sz w:val="23"/>
        </w:rPr>
        <w:t>In a letter Friday to U.S. Senate Majority Leader Trent Lott, R-Miss, the  BMA, highlighting the legislation’s commercial provisions, said it’s critical that a law be enacted this year to mitigate systemic risk in the global financial markets.</w:t>
      </w:r>
    </w:p>
    <w:p>
      <w:pPr>
        <w:pStyle w:val="Normal"/>
        <w:rPr>
          <w:color w:val="000000"/>
          <w:sz w:val="23"/>
        </w:rPr>
      </w:pPr>
      <w:r>
        <w:rPr>
          <w:color w:val="000000"/>
          <w:sz w:val="23"/>
        </w:rPr>
      </w:r>
    </w:p>
    <w:p>
      <w:pPr>
        <w:pStyle w:val="Normal"/>
        <w:rPr>
          <w:color w:val="000000"/>
          <w:sz w:val="23"/>
        </w:rPr>
      </w:pPr>
      <w:r>
        <w:rPr>
          <w:color w:val="000000"/>
          <w:sz w:val="23"/>
        </w:rPr>
        <w:t>With only a few weeks to go before Congress adjourns, Democrats and Republicans remain divided on a handful of outstanding issues regarding bankruptcy reform. While the House and Senate have passed the bill, the legislation has been stalled since February and it’s unclear whether negotiators from the House and Senate will agree on a final version this year.</w:t>
      </w:r>
    </w:p>
    <w:p>
      <w:pPr>
        <w:pStyle w:val="Normal"/>
        <w:rPr>
          <w:color w:val="000000"/>
          <w:sz w:val="23"/>
        </w:rPr>
      </w:pPr>
      <w:r>
        <w:rPr>
          <w:color w:val="000000"/>
          <w:sz w:val="23"/>
        </w:rPr>
      </w:r>
    </w:p>
    <w:p>
      <w:pPr>
        <w:pStyle w:val="Normal"/>
        <w:rPr>
          <w:color w:val="000000"/>
          <w:sz w:val="23"/>
        </w:rPr>
      </w:pPr>
      <w:r>
        <w:rPr>
          <w:color w:val="000000"/>
          <w:sz w:val="23"/>
        </w:rPr>
        <w:t>In the letter, the BMA said most of the attention on the legislation has focused on the consumer sections of the bill.</w:t>
      </w:r>
    </w:p>
    <w:p>
      <w:pPr>
        <w:pStyle w:val="Normal"/>
        <w:rPr>
          <w:color w:val="000000"/>
          <w:sz w:val="23"/>
        </w:rPr>
      </w:pPr>
      <w:r>
        <w:rPr>
          <w:color w:val="000000"/>
          <w:sz w:val="23"/>
        </w:rPr>
      </w:r>
    </w:p>
    <w:p>
      <w:pPr>
        <w:pStyle w:val="Normal"/>
        <w:rPr/>
      </w:pPr>
      <w:r>
        <w:rPr>
          <w:color w:val="000000"/>
          <w:sz w:val="23"/>
        </w:rPr>
        <w:t xml:space="preserve">But John Vogt, the association’s executive vice president, told </w:t>
      </w:r>
      <w:r>
        <w:rPr>
          <w:i/>
          <w:color w:val="000000"/>
          <w:sz w:val="23"/>
        </w:rPr>
        <w:t xml:space="preserve">Dow Jones Newswires </w:t>
      </w:r>
      <w:r>
        <w:rPr>
          <w:color w:val="000000"/>
          <w:sz w:val="23"/>
        </w:rPr>
        <w:t>Monday that the legislation contains “critically important” commercial provisions designed to keep global markets sound in the unfortunate event of a financial crisis. One of those provisions is a change to the legal</w:t>
      </w:r>
    </w:p>
    <w:p>
      <w:pPr>
        <w:pStyle w:val="Normal"/>
        <w:rPr>
          <w:color w:val="000000"/>
          <w:sz w:val="23"/>
        </w:rPr>
      </w:pPr>
      <w:r>
        <w:rPr>
          <w:color w:val="000000"/>
          <w:sz w:val="23"/>
        </w:rPr>
        <w:t>treatment of financial contracts that would facilitate so-called “cross-product netting.” This allows bankrupt companies and their creditors to offset the various claims in derivatives contracts between two parties and arrive at a single obligation. The provision “helps limit credit exposures and</w:t>
      </w:r>
    </w:p>
    <w:p>
      <w:pPr>
        <w:pStyle w:val="Normal"/>
        <w:rPr>
          <w:color w:val="000000"/>
          <w:sz w:val="23"/>
        </w:rPr>
      </w:pPr>
      <w:r>
        <w:rPr>
          <w:color w:val="000000"/>
          <w:sz w:val="23"/>
        </w:rPr>
        <w:t xml:space="preserve">minimize the disruption the failure of a single institution can bring to the financial system,” the letter to Trott said. </w:t>
      </w:r>
    </w:p>
    <w:p>
      <w:pPr>
        <w:pStyle w:val="Normal"/>
        <w:rPr>
          <w:color w:val="000000"/>
          <w:sz w:val="23"/>
        </w:rPr>
      </w:pPr>
      <w:r>
        <w:rPr>
          <w:color w:val="000000"/>
          <w:sz w:val="23"/>
        </w:rPr>
      </w:r>
    </w:p>
    <w:p>
      <w:pPr>
        <w:pStyle w:val="Normal"/>
        <w:rPr>
          <w:color w:val="000000"/>
          <w:sz w:val="23"/>
        </w:rPr>
      </w:pPr>
      <w:r>
        <w:rPr>
          <w:color w:val="000000"/>
          <w:sz w:val="23"/>
        </w:rPr>
        <w:t>Netting is an issue that the Bond Market Association has been keen on bringing to fruition in the</w:t>
      </w:r>
    </w:p>
    <w:p>
      <w:pPr>
        <w:pStyle w:val="Normal"/>
        <w:rPr>
          <w:color w:val="000000"/>
          <w:sz w:val="23"/>
        </w:rPr>
      </w:pPr>
      <w:r>
        <w:rPr>
          <w:color w:val="000000"/>
          <w:sz w:val="23"/>
        </w:rPr>
        <w:t>private sector. In February, the bond trade group, along with the several securities industry bodies, unveiled a set of guidelines for netting competing obligations between two counterparties in the event either party defaults. Netting was also recognized by the President’s Working Group on Financial Markets last year as a way to reduce the risk of financial crises that can be touched off</w:t>
      </w:r>
    </w:p>
    <w:p>
      <w:pPr>
        <w:pStyle w:val="Normal"/>
        <w:rPr>
          <w:color w:val="000000"/>
          <w:sz w:val="23"/>
        </w:rPr>
      </w:pPr>
      <w:r>
        <w:rPr>
          <w:color w:val="000000"/>
          <w:sz w:val="23"/>
        </w:rPr>
        <w:t>by otherwise isolated market events.</w:t>
      </w:r>
    </w:p>
    <w:p>
      <w:pPr>
        <w:pStyle w:val="Normal"/>
        <w:rPr>
          <w:b/>
          <w:color w:val="000000"/>
          <w:sz w:val="23"/>
        </w:rPr>
      </w:pPr>
      <w:r>
        <w:rPr>
          <w:b/>
          <w:color w:val="000000"/>
          <w:sz w:val="23"/>
        </w:rPr>
      </w:r>
    </w:p>
    <w:p>
      <w:pPr>
        <w:pStyle w:val="Normal"/>
        <w:rPr>
          <w:sz w:val="23"/>
        </w:rPr>
      </w:pPr>
      <w:r>
        <w:rPr>
          <w:sz w:val="23"/>
        </w:rPr>
        <w:t>In the letter to Lott, the BMA said the bankruptcy agreement contained other “positive provisions” for the financial markets, including a clarification that would make it less risky and less costly to securitize financial assets.</w:t>
      </w:r>
    </w:p>
    <w:p>
      <w:pPr>
        <w:pStyle w:val="Normal"/>
        <w:rPr>
          <w:sz w:val="23"/>
        </w:rPr>
      </w:pPr>
      <w:r>
        <w:rPr>
          <w:sz w:val="23"/>
        </w:rPr>
      </w:r>
    </w:p>
    <w:p>
      <w:pPr>
        <w:pStyle w:val="Normal"/>
        <w:rPr/>
      </w:pPr>
      <w:r>
        <w:rPr>
          <w:sz w:val="23"/>
        </w:rPr>
        <w:t>The legislation would also modify current law to assist state and local governments in issuing bonds for new development, Vogt wrote.  “Such status is crucial to attracting investors for development district bonds which are vital to numerous municipalities,” the letter said.</w:t>
      </w:r>
      <w:r>
        <w:rPr/>
        <w:t xml:space="preserve"> </w:t>
      </w:r>
    </w:p>
    <w:p>
      <w:pPr>
        <w:pStyle w:val="Normal"/>
        <w:rPr/>
      </w:pPr>
      <w:r>
        <w:rPr/>
      </w:r>
    </w:p>
    <w:p>
      <w:pPr>
        <w:pStyle w:val="Normal"/>
        <w:rPr/>
      </w:pPr>
      <w:r>
        <w:rPr/>
        <w:t>--end--</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/mnt/main-storage/datasets/enron-docs/doc/Bankruptcy_Legislation_News-ae9a21677853d0acbecbf0b867ac87739203227948c1e5ab048633906f25c742.doc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numPr>
        <w:ilvl w:val="0"/>
        <w:numId w:val="1"/>
      </w:numPr>
      <w:spacing w:before="240" w:after="0"/>
      <w:jc w:val="both"/>
      <w:outlineLvl w:val="0"/>
    </w:pPr>
    <w:rPr>
      <w:lang w:eastAsia="en-US"/>
    </w:rPr>
  </w:style>
  <w:style w:type="paragraph" w:styleId="Heading2">
    <w:name w:val="heading 2"/>
    <w:basedOn w:val="Normal"/>
    <w:next w:val="BodyText"/>
    <w:qFormat/>
    <w:pPr>
      <w:numPr>
        <w:ilvl w:val="1"/>
        <w:numId w:val="1"/>
      </w:numPr>
      <w:spacing w:before="240" w:after="0"/>
      <w:jc w:val="both"/>
      <w:outlineLvl w:val="1"/>
    </w:pPr>
    <w:rPr>
      <w:lang w:eastAsia="en-US"/>
    </w:rPr>
  </w:style>
  <w:style w:type="paragraph" w:styleId="Heading3">
    <w:name w:val="heading 3"/>
    <w:basedOn w:val="Normal"/>
    <w:next w:val="BodyText"/>
    <w:qFormat/>
    <w:pPr>
      <w:numPr>
        <w:ilvl w:val="2"/>
        <w:numId w:val="1"/>
      </w:numPr>
      <w:spacing w:before="240" w:after="0"/>
      <w:jc w:val="both"/>
      <w:outlineLvl w:val="2"/>
    </w:pPr>
    <w:rPr>
      <w:lang w:eastAsia="en-US"/>
    </w:rPr>
  </w:style>
  <w:style w:type="paragraph" w:styleId="Heading4">
    <w:name w:val="heading 4"/>
    <w:basedOn w:val="Normal"/>
    <w:next w:val="BodyText"/>
    <w:qFormat/>
    <w:pPr>
      <w:numPr>
        <w:ilvl w:val="3"/>
        <w:numId w:val="1"/>
      </w:numPr>
      <w:spacing w:before="240" w:after="0"/>
      <w:jc w:val="both"/>
      <w:outlineLvl w:val="3"/>
    </w:pPr>
    <w:rPr>
      <w:lang w:eastAsia="en-US"/>
    </w:rPr>
  </w:style>
  <w:style w:type="paragraph" w:styleId="Heading5">
    <w:name w:val="heading 5"/>
    <w:basedOn w:val="Normal"/>
    <w:next w:val="BodyText"/>
    <w:qFormat/>
    <w:pPr>
      <w:numPr>
        <w:ilvl w:val="4"/>
        <w:numId w:val="1"/>
      </w:numPr>
      <w:spacing w:before="240" w:after="0"/>
      <w:jc w:val="both"/>
      <w:outlineLvl w:val="4"/>
    </w:pPr>
    <w:rPr>
      <w:lang w:eastAsia="en-US"/>
    </w:rPr>
  </w:style>
  <w:style w:type="paragraph" w:styleId="Heading6">
    <w:name w:val="heading 6"/>
    <w:basedOn w:val="Normal"/>
    <w:next w:val="BodyText"/>
    <w:qFormat/>
    <w:pPr>
      <w:numPr>
        <w:ilvl w:val="5"/>
        <w:numId w:val="1"/>
      </w:numPr>
      <w:spacing w:before="240" w:after="0"/>
      <w:jc w:val="both"/>
      <w:outlineLvl w:val="5"/>
    </w:pPr>
    <w:rPr>
      <w:lang w:eastAsia="en-US"/>
    </w:rPr>
  </w:style>
  <w:style w:type="paragraph" w:styleId="Heading7">
    <w:name w:val="heading 7"/>
    <w:basedOn w:val="Normal"/>
    <w:next w:val="BodyText"/>
    <w:qFormat/>
    <w:pPr>
      <w:numPr>
        <w:ilvl w:val="6"/>
        <w:numId w:val="1"/>
      </w:numPr>
      <w:spacing w:before="240" w:after="0"/>
      <w:jc w:val="both"/>
      <w:outlineLvl w:val="6"/>
    </w:pPr>
    <w:rPr>
      <w:lang w:eastAsia="en-US"/>
    </w:rPr>
  </w:style>
  <w:style w:type="paragraph" w:styleId="Heading8">
    <w:name w:val="heading 8"/>
    <w:basedOn w:val="Normal"/>
    <w:next w:val="BodyText"/>
    <w:qFormat/>
    <w:pPr>
      <w:numPr>
        <w:ilvl w:val="7"/>
        <w:numId w:val="1"/>
      </w:numPr>
      <w:spacing w:before="240" w:after="0"/>
      <w:jc w:val="both"/>
      <w:outlineLvl w:val="7"/>
    </w:pPr>
    <w:rPr>
      <w:lang w:eastAsia="en-US"/>
    </w:rPr>
  </w:style>
  <w:style w:type="paragraph" w:styleId="Heading9">
    <w:name w:val="heading 9"/>
    <w:basedOn w:val="Normal"/>
    <w:next w:val="BodyText"/>
    <w:qFormat/>
    <w:pPr>
      <w:numPr>
        <w:ilvl w:val="8"/>
        <w:numId w:val="1"/>
      </w:numPr>
      <w:spacing w:before="240" w:after="0"/>
      <w:jc w:val="both"/>
      <w:outlineLvl w:val="8"/>
    </w:pPr>
    <w:rPr>
      <w:lang w:eastAsia="en-US"/>
    </w:rPr>
  </w:style>
  <w:style w:type="character" w:styleId="WW8Num1z0">
    <w:name w:val="WW8Num1z0"/>
    <w:qFormat/>
    <w:rPr>
      <w:rFonts w:ascii="Times New Roman" w:hAnsi="Times New Roman" w:cs="Times New Roman"/>
      <w:b w:val="false"/>
      <w:i w:val="false"/>
      <w:sz w:val="24"/>
    </w:rPr>
  </w:style>
  <w:style w:type="character" w:styleId="WW8Num1z1">
    <w:name w:val="WW8Num1z1"/>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jc w:val="both"/>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lang w:eastAsia="en-US"/>
    </w:rPr>
  </w:style>
  <w:style w:type="paragraph" w:styleId="FootnoteText">
    <w:name w:val="footnote text"/>
    <w:basedOn w:val="Normal"/>
    <w:pPr>
      <w:tabs>
        <w:tab w:val="clear" w:pos="720"/>
        <w:tab w:val="left" w:pos="360" w:leader="none"/>
      </w:tabs>
      <w:spacing w:before="120" w:after="0"/>
      <w:jc w:val="both"/>
    </w:pPr>
    <w:rPr>
      <w:sz w:val="22"/>
      <w:lang w:eastAsia="en-US"/>
    </w:rPr>
  </w:style>
  <w:style w:type="paragraph" w:styleId="Header">
    <w:name w:val="header"/>
    <w:basedOn w:val="Normal"/>
    <w:pPr>
      <w:tabs>
        <w:tab w:val="clear" w:pos="720"/>
        <w:tab w:val="center" w:pos="4680" w:leader="none"/>
        <w:tab w:val="right" w:pos="9360" w:leader="none"/>
      </w:tabs>
    </w:pPr>
    <w:rPr>
      <w:lang w:eastAsia="en-US"/>
    </w:rPr>
  </w:style>
  <w:style w:type="paragraph" w:styleId="HeadingCtr">
    <w:name w:val="Heading Ctr"/>
    <w:basedOn w:val="Normal"/>
    <w:qFormat/>
    <w:pPr>
      <w:keepNext w:val="true"/>
      <w:keepLines/>
      <w:spacing w:before="240" w:after="0"/>
      <w:jc w:val="center"/>
    </w:pPr>
    <w:rPr>
      <w:lang w:eastAsia="en-US"/>
    </w:rPr>
  </w:style>
  <w:style w:type="paragraph" w:styleId="HeadingLeft">
    <w:name w:val="Heading Left"/>
    <w:basedOn w:val="Normal"/>
    <w:qFormat/>
    <w:pPr>
      <w:keepNext w:val="true"/>
      <w:keepLines/>
      <w:spacing w:before="240" w:after="0"/>
    </w:pPr>
    <w:rPr>
      <w:lang w:eastAsia="en-US"/>
    </w:rPr>
  </w:style>
  <w:style w:type="paragraph" w:styleId="HeadingRgt">
    <w:name w:val="Heading Rgt"/>
    <w:basedOn w:val="Normal"/>
    <w:qFormat/>
    <w:pPr>
      <w:keepNext w:val="true"/>
      <w:keepLines/>
      <w:spacing w:before="240" w:after="0"/>
      <w:jc w:val="end"/>
    </w:pPr>
    <w:rPr>
      <w:lang w:eastAsia="en-US"/>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lang w:eastAsia="en-CA"/>
    </w:rPr>
  </w:style>
  <w:style w:type="paragraph" w:styleId="TableData">
    <w:name w:val="Table Data"/>
    <w:basedOn w:val="Normal"/>
    <w:qFormat/>
    <w:pPr>
      <w:tabs>
        <w:tab w:val="clear" w:pos="720"/>
        <w:tab w:val="decimal" w:pos="612" w:leader="none"/>
      </w:tabs>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lang w:eastAsia="en-CA"/>
    </w:rPr>
  </w:style>
  <w:style w:type="paragraph" w:styleId="TableItem">
    <w:name w:val="Table Item"/>
    <w:basedOn w:val="Normal"/>
    <w:qFormat/>
    <w:pPr>
      <w:tabs>
        <w:tab w:val="clear" w:pos="720"/>
        <w:tab w:val="left" w:pos="2880" w:leader="dot"/>
      </w:tabs>
      <w:ind w:hanging="180" w:start="180" w:end="432"/>
    </w:pPr>
    <w:rPr>
      <w:lang w:eastAsia="en-C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2000-09-12T14:44:00Z</dcterms:created>
  <dc:creator>CWT</dc:creator>
  <dc:description/>
  <dc:language>en-CA</dc:language>
  <cp:lastModifiedBy>CWT</cp:lastModifiedBy>
  <dcterms:modified xsi:type="dcterms:W3CDTF">2000-09-12T15:36:00Z</dcterms:modified>
  <cp:revision>1</cp:revision>
  <dc:subject/>
  <dc:title>CWT Normal.dot</dc:title>
</cp:coreProperties>
</file>