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August 04, 1999</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Bank Of America National Association</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(312) 987-8501</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Capital &amp; Trade Resources Corp. (“ECT”)</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N00002.2</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February 28, 1992</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20,000 MMBtu multiplied by the number of days in the relevant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August 04, 1999</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January 01, 2007</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December 31, 2007</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January 01, 2007 and ending on December 31, 2007.</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p>
      <w:pPr>
        <w:pStyle w:val="Normal"/>
        <w:ind w:end="-270"/>
        <w:rPr>
          <w:sz w:val="22"/>
        </w:rPr>
      </w:pPr>
      <w:r>
        <w:rPr>
          <w:sz w:val="22"/>
        </w:rPr>
      </w:r>
    </w:p>
    <w:p>
      <w:pPr>
        <w:pStyle w:val="Normal"/>
        <w:ind w:end="-270"/>
        <w:rPr>
          <w:sz w:val="22"/>
        </w:rPr>
      </w:pPr>
      <w:r>
        <w:rPr>
          <w:sz w:val="22"/>
        </w:rPr>
      </w:r>
    </w:p>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$2.78500 per MMBtu</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settlement price for the last scheduled Trading Day of the NYMEX Henry Hub Natural Gas Futures Contract for the applicable Calculation Period</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numPr>
                <w:ilvl w:val="0"/>
                <w:numId w:val="4"/>
              </w:numPr>
              <w:jc w:val="both"/>
              <w:rPr>
                <w:color w:val="0000FF"/>
                <w:sz w:val="22"/>
              </w:rPr>
            </w:pPr>
            <w:r>
              <w:rPr>
                <w:color w:val="0000FF"/>
                <w:sz w:val="22"/>
              </w:rPr>
              <w:t>Early Termination:</w:t>
            </w:r>
          </w:p>
          <w:p>
            <w:pPr>
              <w:pStyle w:val="Normal"/>
              <w:jc w:val="both"/>
              <w:rPr>
                <w:color w:val="0000FF"/>
                <w:sz w:val="22"/>
              </w:rPr>
            </w:pPr>
            <w:r>
              <w:rPr>
                <w:color w:val="0000FF"/>
                <w:sz w:val="22"/>
              </w:rPr>
            </w:r>
          </w:p>
          <w:p>
            <w:pPr>
              <w:pStyle w:val="Normal"/>
              <w:jc w:val="both"/>
              <w:rPr>
                <w:color w:val="0000FF"/>
                <w:sz w:val="22"/>
              </w:rPr>
            </w:pPr>
            <w:r>
              <w:rPr>
                <w:color w:val="0000FF"/>
                <w:sz w:val="22"/>
              </w:rPr>
              <w:t>Either party (“X”) shall have the right up to ten (10) Business Days following each Review Date (as defined below) to designate an Early Termination Date in respect of this Transaction by giving at least five (5) days prior notice of such designation to the other party (“Y”).  Payment in respect of such termination shall be calculated and made in accordance with Section 6 of the Agreement on the basis that the Early Termination Date results from a  Termination Event and:</w:t>
            </w:r>
          </w:p>
          <w:p>
            <w:pPr>
              <w:pStyle w:val="Normal"/>
              <w:jc w:val="both"/>
              <w:rPr>
                <w:color w:val="0000FF"/>
                <w:sz w:val="22"/>
              </w:rPr>
            </w:pPr>
            <w:r>
              <w:rPr>
                <w:color w:val="0000FF"/>
                <w:sz w:val="22"/>
              </w:rPr>
            </w:r>
          </w:p>
          <w:p>
            <w:pPr>
              <w:pStyle w:val="Normal"/>
              <w:numPr>
                <w:ilvl w:val="0"/>
                <w:numId w:val="3"/>
              </w:numPr>
              <w:jc w:val="both"/>
              <w:rPr>
                <w:color w:val="0000FF"/>
                <w:sz w:val="22"/>
              </w:rPr>
            </w:pPr>
            <w:r>
              <w:rPr>
                <w:color w:val="0000FF"/>
                <w:sz w:val="22"/>
              </w:rPr>
              <w:t xml:space="preserve">if the Credit Rating of </w:t>
            </w:r>
            <w:r>
              <w:rPr>
                <w:color w:val="008000"/>
                <w:sz w:val="22"/>
              </w:rPr>
              <w:t xml:space="preserve">X is equal to or higher than BBB-/Baa3 and the Credit Rating of </w:t>
            </w:r>
            <w:r>
              <w:rPr>
                <w:color w:val="0000FF"/>
                <w:sz w:val="22"/>
              </w:rPr>
              <w:t xml:space="preserve">Y is lower than BBB-/Baa3, then </w:t>
            </w:r>
            <w:r>
              <w:rPr>
                <w:color w:val="008000"/>
                <w:sz w:val="22"/>
              </w:rPr>
              <w:t>Y</w:t>
            </w:r>
            <w:r>
              <w:rPr>
                <w:color w:val="0000FF"/>
                <w:sz w:val="22"/>
              </w:rPr>
              <w:t xml:space="preserve"> shall be </w:t>
            </w:r>
            <w:r>
              <w:rPr>
                <w:color w:val="008000"/>
                <w:sz w:val="22"/>
              </w:rPr>
              <w:t xml:space="preserve">the sole </w:t>
            </w:r>
            <w:r>
              <w:rPr>
                <w:color w:val="0000FF"/>
                <w:sz w:val="22"/>
              </w:rPr>
              <w:t>Affected Part</w:t>
            </w:r>
            <w:r>
              <w:rPr>
                <w:color w:val="008000"/>
                <w:sz w:val="22"/>
              </w:rPr>
              <w:t>y</w:t>
            </w:r>
            <w:r>
              <w:rPr>
                <w:color w:val="0000FF"/>
                <w:sz w:val="22"/>
              </w:rPr>
              <w:t xml:space="preserve"> and </w:t>
            </w:r>
            <w:r>
              <w:rPr>
                <w:color w:val="008000"/>
                <w:sz w:val="22"/>
              </w:rPr>
              <w:t>X</w:t>
            </w:r>
            <w:r>
              <w:rPr>
                <w:color w:val="0000FF"/>
                <w:sz w:val="22"/>
              </w:rPr>
              <w:t xml:space="preserve"> shall obtain </w:t>
            </w:r>
            <w:r>
              <w:rPr>
                <w:color w:val="008000"/>
                <w:sz w:val="22"/>
              </w:rPr>
              <w:t>each party’s</w:t>
            </w:r>
            <w:r>
              <w:rPr>
                <w:color w:val="0000FF"/>
                <w:sz w:val="22"/>
              </w:rPr>
              <w:t xml:space="preserve"> Market Quotation;</w:t>
            </w:r>
          </w:p>
          <w:p>
            <w:pPr>
              <w:pStyle w:val="Normal"/>
              <w:jc w:val="both"/>
              <w:rPr>
                <w:color w:val="0000FF"/>
                <w:sz w:val="22"/>
              </w:rPr>
            </w:pPr>
            <w:r>
              <w:rPr>
                <w:color w:val="0000FF"/>
                <w:sz w:val="22"/>
              </w:rPr>
            </w:r>
          </w:p>
          <w:p>
            <w:pPr>
              <w:pStyle w:val="Normal"/>
              <w:numPr>
                <w:ilvl w:val="0"/>
                <w:numId w:val="3"/>
              </w:numPr>
              <w:jc w:val="both"/>
              <w:rPr>
                <w:color w:val="0000FF"/>
                <w:sz w:val="22"/>
              </w:rPr>
            </w:pPr>
            <w:r>
              <w:rPr>
                <w:color w:val="0000FF"/>
                <w:sz w:val="22"/>
              </w:rPr>
              <w:t xml:space="preserve">if the Credit Rating of </w:t>
            </w:r>
            <w:r>
              <w:rPr>
                <w:color w:val="008000"/>
                <w:sz w:val="22"/>
              </w:rPr>
              <w:t xml:space="preserve">X is lower than BBB-/Baa3 and the Credit Rating of </w:t>
            </w:r>
            <w:r>
              <w:rPr>
                <w:color w:val="0000FF"/>
                <w:sz w:val="22"/>
              </w:rPr>
              <w:t>Y is equal to or higher than BBB-/Baa3, then X shall be the sole Affected Party and Y shall obtain each party’s Market Quotation;</w:t>
            </w:r>
          </w:p>
          <w:p>
            <w:pPr>
              <w:pStyle w:val="Normal"/>
              <w:jc w:val="both"/>
              <w:rPr>
                <w:color w:val="0000FF"/>
                <w:sz w:val="22"/>
              </w:rPr>
            </w:pPr>
            <w:r>
              <w:rPr>
                <w:color w:val="0000FF"/>
                <w:sz w:val="22"/>
              </w:rPr>
            </w:r>
          </w:p>
          <w:p>
            <w:pPr>
              <w:pStyle w:val="Normal"/>
              <w:numPr>
                <w:ilvl w:val="0"/>
                <w:numId w:val="3"/>
              </w:numPr>
              <w:jc w:val="both"/>
              <w:rPr>
                <w:color w:val="008000"/>
                <w:sz w:val="22"/>
              </w:rPr>
            </w:pPr>
            <w:r>
              <w:rPr>
                <w:color w:val="008000"/>
                <w:sz w:val="22"/>
              </w:rPr>
              <w:t>if the Credit Rating of both X and Y are equal to or higher than BBB-/Baa3 then both parties shall be Affected Parties and each party shall obtain its own Market Quotation;</w:t>
            </w:r>
          </w:p>
          <w:p>
            <w:pPr>
              <w:pStyle w:val="Normal"/>
              <w:jc w:val="both"/>
              <w:rPr>
                <w:color w:val="008000"/>
                <w:sz w:val="22"/>
              </w:rPr>
            </w:pPr>
            <w:r>
              <w:rPr>
                <w:color w:val="008000"/>
                <w:sz w:val="22"/>
              </w:rPr>
            </w:r>
          </w:p>
          <w:p>
            <w:pPr>
              <w:pStyle w:val="Normal"/>
              <w:numPr>
                <w:ilvl w:val="0"/>
                <w:numId w:val="3"/>
              </w:numPr>
              <w:jc w:val="both"/>
              <w:rPr>
                <w:color w:val="008000"/>
                <w:sz w:val="22"/>
              </w:rPr>
            </w:pPr>
            <w:r>
              <w:rPr>
                <w:color w:val="008000"/>
                <w:sz w:val="22"/>
              </w:rPr>
              <w:t>if the Credit Ratings of both X and Y are lower than BBB-/Baa3, then both parties shall be Affected Parties and each party shall obtain its own Market Quotation.</w:t>
            </w:r>
          </w:p>
          <w:p>
            <w:pPr>
              <w:pStyle w:val="Normal"/>
              <w:jc w:val="both"/>
              <w:rPr>
                <w:color w:val="0000FF"/>
                <w:sz w:val="22"/>
              </w:rPr>
            </w:pPr>
            <w:r>
              <w:rPr>
                <w:color w:val="0000FF"/>
                <w:sz w:val="22"/>
              </w:rPr>
            </w:r>
          </w:p>
          <w:p>
            <w:pPr>
              <w:pStyle w:val="Normal"/>
              <w:jc w:val="both"/>
              <w:rPr>
                <w:color w:val="0000FF"/>
                <w:sz w:val="22"/>
              </w:rPr>
            </w:pPr>
            <w:r>
              <w:rPr>
                <w:color w:val="0000FF"/>
                <w:sz w:val="22"/>
              </w:rPr>
              <w:t>For the purposes hereof:</w:t>
            </w:r>
          </w:p>
          <w:p>
            <w:pPr>
              <w:pStyle w:val="Normal"/>
              <w:jc w:val="both"/>
              <w:rPr>
                <w:color w:val="0000FF"/>
                <w:sz w:val="22"/>
              </w:rPr>
            </w:pPr>
            <w:r>
              <w:rPr>
                <w:color w:val="0000FF"/>
                <w:sz w:val="22"/>
              </w:rPr>
            </w:r>
          </w:p>
          <w:p>
            <w:pPr>
              <w:pStyle w:val="Normal"/>
              <w:numPr>
                <w:ilvl w:val="0"/>
                <w:numId w:val="2"/>
              </w:numPr>
              <w:jc w:val="both"/>
              <w:rPr>
                <w:color w:val="0000FF"/>
                <w:sz w:val="22"/>
              </w:rPr>
            </w:pPr>
            <w:r>
              <w:rPr>
                <w:color w:val="0000FF"/>
                <w:sz w:val="22"/>
              </w:rPr>
              <w:t>“</w:t>
            </w:r>
            <w:r>
              <w:rPr>
                <w:color w:val="0000FF"/>
                <w:sz w:val="22"/>
              </w:rPr>
              <w:t xml:space="preserve">Credit Rating” of a party means the rating </w:t>
            </w:r>
            <w:r>
              <w:rPr>
                <w:color w:val="FF0000"/>
                <w:sz w:val="22"/>
              </w:rPr>
              <w:t xml:space="preserve">then assigned to such party’s (or its parent, as the case may be) or entity’s unsecured, senior long–term debt </w:t>
            </w:r>
            <w:r>
              <w:rPr>
                <w:color w:val="008000"/>
                <w:sz w:val="22"/>
              </w:rPr>
              <w:t>or</w:t>
            </w:r>
            <w:r>
              <w:rPr>
                <w:color w:val="FF0000"/>
                <w:sz w:val="22"/>
              </w:rPr>
              <w:t xml:space="preserve"> deposit obligations (not supported by third party credit enhancement) by</w:t>
            </w:r>
            <w:r>
              <w:rPr>
                <w:color w:val="0000FF"/>
                <w:sz w:val="22"/>
              </w:rPr>
              <w:t xml:space="preserve"> either Standard &amp; Poor’s Rating Group (a division of McGraw – Hill, Inc.)</w:t>
            </w:r>
            <w:r>
              <w:rPr>
                <w:color w:val="008000"/>
                <w:sz w:val="22"/>
              </w:rPr>
              <w:t>, or its successor</w:t>
            </w:r>
            <w:r>
              <w:rPr>
                <w:color w:val="0000FF"/>
                <w:sz w:val="22"/>
              </w:rPr>
              <w:t xml:space="preserve"> or Moody’s Investor Service, Inc., or its successor, provided that if either party has such a rating from both entities, its Credit Rating shall be the lower of the two ratings; and </w:t>
            </w:r>
          </w:p>
          <w:p>
            <w:pPr>
              <w:pStyle w:val="Normal"/>
              <w:jc w:val="both"/>
              <w:rPr>
                <w:color w:val="0000FF"/>
                <w:sz w:val="22"/>
              </w:rPr>
            </w:pPr>
            <w:r>
              <w:rPr>
                <w:color w:val="0000FF"/>
                <w:sz w:val="22"/>
              </w:rPr>
            </w:r>
          </w:p>
          <w:p>
            <w:pPr>
              <w:pStyle w:val="Normal"/>
              <w:numPr>
                <w:ilvl w:val="0"/>
                <w:numId w:val="2"/>
              </w:numPr>
              <w:jc w:val="both"/>
              <w:rPr>
                <w:color w:val="0000FF"/>
                <w:sz w:val="22"/>
              </w:rPr>
            </w:pPr>
            <w:r>
              <w:rPr>
                <w:color w:val="0000FF"/>
                <w:sz w:val="22"/>
              </w:rPr>
              <w:t>“</w:t>
            </w:r>
            <w:r>
              <w:rPr>
                <w:color w:val="0000FF"/>
                <w:sz w:val="22"/>
              </w:rPr>
              <w:t>Review Date” means the fifth anniversary of the Trade Date of this Transaction.</w:t>
            </w:r>
          </w:p>
          <w:p>
            <w:pPr>
              <w:pStyle w:val="Normal"/>
              <w:jc w:val="both"/>
              <w:rPr>
                <w:color w:val="0000FF"/>
                <w:sz w:val="22"/>
              </w:rPr>
            </w:pPr>
            <w:r>
              <w:rPr>
                <w:color w:val="0000FF"/>
                <w:sz w:val="22"/>
              </w:rPr>
            </w:r>
          </w:p>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Capital &amp; Trade Resources Corp.</w:t>
            </w:r>
            <w:r>
              <w:rPr>
                <w:sz w:val="22"/>
              </w:rPr>
              <w:fldChar w:fldCharType="end"/>
            </w:r>
          </w:p>
          <w:p>
            <w:pPr>
              <w:pStyle w:val="Normal"/>
              <w:rPr>
                <w:sz w:val="22"/>
              </w:rPr>
            </w:pPr>
            <w:r>
              <w:rPr>
                <w:sz w:val="22"/>
              </w:rPr>
            </w:r>
          </w:p>
          <w:p>
            <w:pPr>
              <w:pStyle w:val="Normal"/>
              <w:rPr>
                <w:sz w:val="22"/>
              </w:rPr>
            </w:pPr>
            <w:r>
              <w:rPr>
                <w:sz w:val="22"/>
              </w:rPr>
              <w:tab/>
              <w:tab/>
              <w:tab/>
              <w:tab/>
              <w:tab/>
            </w:r>
          </w:p>
          <w:p>
            <w:pPr>
              <w:pStyle w:val="Normal"/>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N00002.2</w:t>
            </w:r>
            <w:r>
              <w:rPr>
                <w:sz w:val="22"/>
              </w:rPr>
              <w:fldChar w:fldCharType="end"/>
            </w:r>
            <w:r>
              <w:rPr>
                <w:sz w:val="22"/>
              </w:rPr>
              <w:t xml:space="preserve">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Bank Of America National Association</w:t>
            </w:r>
            <w:r>
              <w:rPr>
                <w:sz w:val="22"/>
              </w:rPr>
              <w:fldChar w:fldCharType="end"/>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N00002.2</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05"/>
        </w:tabs>
        <w:ind w:start="705" w:hanging="705"/>
      </w:pPr>
      <w:rPr/>
    </w:lvl>
  </w:abstractNum>
  <w:abstractNum w:abstractNumId="3">
    <w:lvl w:ilvl="0">
      <w:start w:val="1"/>
      <w:numFmt w:val="lowerRoman"/>
      <w:lvlText w:val="(%1)"/>
      <w:lvlJc w:val="start"/>
      <w:pPr>
        <w:tabs>
          <w:tab w:val="num" w:pos="720"/>
        </w:tabs>
        <w:ind w:start="720" w:hanging="720"/>
      </w:pPr>
      <w:rPr/>
    </w:lvl>
  </w:abstractNum>
  <w:abstractNum w:abstractNumId="4">
    <w:lvl w:ilvl="0">
      <w:start w:val="3"/>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1999-08-09T18:29:00Z</dcterms:created>
  <dc:creator>ECT</dc:creator>
  <dc:description/>
  <dc:language>en-CA</dc:language>
  <cp:lastModifiedBy>Lucy Ortiz</cp:lastModifiedBy>
  <dcterms:modified xsi:type="dcterms:W3CDTF">1999-08-10T12:07:00Z</dcterms:modified>
  <cp:revision>3</cp:revision>
  <dc:subject>Bank Of America National Trust &amp; Savings Association</dc:subject>
  <dc:title>N00002.2</dc:title>
</cp:coreProperties>
</file>