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BANKLOGIC MODULE</w:t>
      </w:r>
    </w:p>
    <w:p>
      <w:pPr>
        <w:pStyle w:val="Normal"/>
        <w:spacing w:before="0" w:after="0"/>
        <w:jc w:val="center"/>
        <w:rPr>
          <w:b/>
          <w:u w:val="single"/>
        </w:rPr>
      </w:pPr>
      <w:r>
        <w:rPr>
          <w:b/>
          <w:u w:val="single"/>
        </w:rPr>
        <w:t>(ENRON RELATED PAYMENT TRANSACTIONS)</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BankLogic (Enron Related Payment Transactions)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“I ACCEPT” area below this Annex to the BankLogic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jc w:val="both"/>
        <w:rPr/>
      </w:pPr>
      <w:r>
        <w:rPr>
          <w:b/>
          <w:bCs/>
        </w:rPr>
        <w:t>2.</w:t>
        <w:tab/>
      </w:r>
      <w:r>
        <w:rPr>
          <w:b/>
          <w:bCs/>
          <w:u w:val="single"/>
        </w:rPr>
        <w:t>UNIQUE MODULE DEFINITIONS</w:t>
      </w:r>
      <w:r>
        <w:rPr/>
        <w:t>.  Within this Module, the following terms shall have the following definitions:</w:t>
      </w:r>
    </w:p>
    <w:p>
      <w:pPr>
        <w:pStyle w:val="Normal"/>
        <w:ind w:firstLine="720" w:end="0"/>
        <w:jc w:val="both"/>
        <w:rPr/>
      </w:pPr>
      <w:r>
        <w:rPr/>
        <w:t xml:space="preserve">(a) </w:t>
      </w:r>
      <w:r>
        <w:rPr>
          <w:u w:val="single"/>
        </w:rPr>
        <w:t>CommodityLogic Payment Transaction(s)</w:t>
      </w:r>
      <w:r>
        <w:rPr/>
        <w:t xml:space="preserve"> – shall mean, collectively, any agreement between CommodityLogic and Counterparty within the Module to enter into a payment agreement whereby Counterparty obtains payment from CommodityLogic for obligations owed to it by Enron in relation to Designated Commodity Transactions.</w:t>
      </w:r>
    </w:p>
    <w:p>
      <w:pPr>
        <w:pStyle w:val="Normal"/>
        <w:ind w:firstLine="720" w:end="0"/>
        <w:jc w:val="both"/>
        <w:rPr/>
      </w:pPr>
      <w:r>
        <w:rPr/>
        <w:t xml:space="preserve">(b) </w:t>
      </w:r>
      <w:r>
        <w:rPr>
          <w:u w:val="single"/>
        </w:rPr>
        <w:t>Counterparty Payment Transaction(s)</w:t>
      </w:r>
      <w:r>
        <w:rPr/>
        <w:t xml:space="preserve"> – shall mean, collectively, any agreement between CommodityLogic and Counterparty within the Module to enter into a payment agreement whereby Counterparty pays CommodityLogic for obligations it owes to Enron in relation to Designated Commodity Transactions.</w:t>
      </w:r>
    </w:p>
    <w:p>
      <w:pPr>
        <w:pStyle w:val="Normal"/>
        <w:ind w:firstLine="720" w:end="0"/>
        <w:jc w:val="both"/>
        <w:rPr/>
      </w:pPr>
      <w:r>
        <w:rPr/>
        <w:t xml:space="preserve">(c) </w:t>
      </w:r>
      <w:r>
        <w:rPr>
          <w:u w:val="single"/>
        </w:rPr>
        <w:t>Designated Commodity Transactions</w:t>
      </w:r>
      <w:r>
        <w:rPr/>
        <w:t xml:space="preserve"> – shall mean any one or all of the Commodity Transactions for which Counterparty and CommodityLogic enter into agreements for payment within the Module which differ from the original terms of payment agreed to between Enron and Counterparty for certain Commodity Transactions.</w:t>
      </w:r>
    </w:p>
    <w:p>
      <w:pPr>
        <w:pStyle w:val="Normal"/>
        <w:ind w:firstLine="720" w:end="0"/>
        <w:jc w:val="both"/>
        <w:rPr/>
      </w:pPr>
      <w:r>
        <w:rPr/>
        <w:t xml:space="preserve">(d)  </w:t>
      </w:r>
      <w:r>
        <w:rPr>
          <w:u w:val="single"/>
        </w:rPr>
        <w:t>Enron</w:t>
      </w:r>
      <w:r>
        <w:rPr/>
        <w:t xml:space="preserve"> – shall mean Enron Corp. or any one of its affiliates or subsidiaries who is a party to a Designated Commodity Transaction.</w:t>
      </w:r>
    </w:p>
    <w:p>
      <w:pPr>
        <w:pStyle w:val="Normal"/>
        <w:ind w:firstLine="720" w:end="0"/>
        <w:jc w:val="both"/>
        <w:rPr/>
      </w:pPr>
      <w:r>
        <w:rPr/>
        <w:t xml:space="preserve">(e)  </w:t>
      </w:r>
      <w:r>
        <w:rPr>
          <w:u w:val="single"/>
        </w:rPr>
        <w:t>Payment Transactions</w:t>
      </w:r>
      <w:r>
        <w:rPr/>
        <w:t xml:space="preserve"> – shall mean, collectively, Counterparty Payment Transactions and CommodityLogic Payment Transactions.</w:t>
      </w:r>
    </w:p>
    <w:p>
      <w:pPr>
        <w:pStyle w:val="Normal"/>
        <w:jc w:val="both"/>
        <w:rPr/>
      </w:pPr>
      <w:r>
        <w:rPr>
          <w:b/>
          <w:bCs/>
        </w:rPr>
        <w:t>3.</w:t>
      </w:r>
      <w:r>
        <w:rPr/>
        <w:tab/>
      </w:r>
      <w:r>
        <w:rPr>
          <w:b/>
          <w:bCs/>
          <w:u w:val="single"/>
        </w:rPr>
        <w:t>COMMODITYLOGIC AS PAYMENT AGENT</w:t>
      </w:r>
      <w:r>
        <w:rPr/>
        <w:t xml:space="preserve">.  Pursuant to a separate agreement between Enron and CommodityLogic, Enron has appointed CommodityLogic to act as its payment agent and collection agent with respect to Designated Commodity Transactions. </w:t>
      </w:r>
    </w:p>
    <w:p>
      <w:pPr>
        <w:pStyle w:val="Normal"/>
        <w:numPr>
          <w:ilvl w:val="0"/>
          <w:numId w:val="0"/>
        </w:numPr>
        <w:jc w:val="both"/>
        <w:outlineLvl w:val="0"/>
        <w:rPr/>
      </w:pPr>
      <w:r>
        <w:rPr>
          <w:b/>
        </w:rPr>
        <w:t>4.</w:t>
        <w:tab/>
      </w:r>
      <w:r>
        <w:rPr>
          <w:b/>
          <w:u w:val="single"/>
        </w:rPr>
        <w:t>COMMODITYLOGIC PAYMENT TRANSACTIONS</w:t>
      </w:r>
    </w:p>
    <w:p>
      <w:pPr>
        <w:pStyle w:val="Normal"/>
        <w:ind w:firstLine="720" w:end="0"/>
        <w:jc w:val="both"/>
        <w:rPr/>
      </w:pPr>
      <w:r>
        <w:rPr/>
        <w:t>(a)</w:t>
        <w:tab/>
        <w:t>Counterparty may enter into one or more CommodityLogic Payment Transactions with respect to certain of Enron's payment obligations (each, a "</w:t>
      </w:r>
      <w:r>
        <w:rPr>
          <w:u w:val="single"/>
        </w:rPr>
        <w:t>Specified Enron Obligation</w:t>
      </w:r>
      <w:r>
        <w:rPr/>
        <w:t xml:space="preserve">") to Counterparty as to Specified Volumes (as defined in the relevant section of the Module) under the Designated Commodity Transactions.  Payment by CommodityLogic to Counterparty under the relevant CommodityLogic Payment Transaction shall be in full satisfaction of Enron's payment obligations with respect to the relevant Specified Enron Obligation. Upon such payment by CommodityLogic, Enron shall be fully released from all of its duties, liabilities and obligations with respect to the relevant Specified Enron Obligation. </w:t>
      </w:r>
    </w:p>
    <w:p>
      <w:pPr>
        <w:pStyle w:val="Normal"/>
        <w:ind w:firstLine="720" w:end="0"/>
        <w:jc w:val="both"/>
        <w:rPr/>
      </w:pPr>
      <w:r>
        <w:rPr/>
        <w:t>(b)</w:t>
        <w:tab/>
        <w:t>With respect to Enron's payment obligations (other than the Specified Enron Obligations), if any, to Counterparty in connection with such Designated Commodity Transactions (the "</w:t>
      </w:r>
      <w:r>
        <w:rPr>
          <w:u w:val="single"/>
        </w:rPr>
        <w:t>Remaining Enron Obligation</w:t>
      </w:r>
      <w:r>
        <w:rPr/>
        <w:t xml:space="preserve">"), the provisions of any Other Agreement between Counterparty and Enron related to the Designated Commodity Transactions shall continue in full force and effect. Enron shall be solely responsible for payment to Counterparty with respect to the Remaining Enron Obligation and CommodityLogic shall have no duty, liability or obligation with respect thereto. </w:t>
      </w:r>
    </w:p>
    <w:p>
      <w:pPr>
        <w:pStyle w:val="Normal"/>
        <w:jc w:val="both"/>
        <w:rPr/>
      </w:pPr>
      <w:r>
        <w:rPr>
          <w:b/>
        </w:rPr>
        <w:t>5.</w:t>
        <w:tab/>
      </w:r>
      <w:r>
        <w:rPr>
          <w:b/>
          <w:u w:val="single"/>
        </w:rPr>
        <w:t>COUNTERPARTY PAYMENT TRANSACTIONS</w:t>
      </w:r>
    </w:p>
    <w:p>
      <w:pPr>
        <w:pStyle w:val="Normal"/>
        <w:ind w:firstLine="720" w:end="0"/>
        <w:jc w:val="both"/>
        <w:rPr/>
      </w:pPr>
      <w:r>
        <w:rPr/>
        <w:t>(a)</w:t>
        <w:tab/>
        <w:t>Counterparty may enter into one or more Counterparty Payment Transactions with respect to certain of Counterparty's payment obligations (each, a "</w:t>
      </w:r>
      <w:r>
        <w:rPr>
          <w:u w:val="single"/>
        </w:rPr>
        <w:t>Specified Counterparty Obligation</w:t>
      </w:r>
      <w:r>
        <w:rPr/>
        <w:t xml:space="preserve">") to Enron as to Specified Volumes (as defined in the relevant section of the Module) under the Designated Commodity Transactions.   After CommodityLogic’s receipt of payment from Counterparty, payment by CommodityLogic to Enron under the relevant Counterparty Payment Transaction shall be in full satisfaction of Counterparty's payment obligations with respect to the relevant Specified Counterparty Obligation. Upon such payment to CommodityLogic, Counterparty shall be fully released from all of its duties, liabilities and obligations with respect to the relevant Specified Counterparty Obligation. </w:t>
      </w:r>
    </w:p>
    <w:p>
      <w:pPr>
        <w:pStyle w:val="Normal"/>
        <w:ind w:firstLine="720" w:end="0"/>
        <w:jc w:val="both"/>
        <w:rPr/>
      </w:pPr>
      <w:r>
        <w:rPr/>
        <w:t>(b)</w:t>
        <w:tab/>
        <w:t>With respect to Counterparty's payment obligations (other than the Specified Counterparty Obligations), if any, to Enron in connection with such Designated Commodity Transactions (the "</w:t>
      </w:r>
      <w:r>
        <w:rPr>
          <w:u w:val="single"/>
        </w:rPr>
        <w:t>Remaining Counterparty Obligation</w:t>
      </w:r>
      <w:r>
        <w:rPr/>
        <w:t>"), the provisions of any Other Agreement between Counterparty and Enron related to the Designated Commodity Transactions shall continue in full force and effect. Counterparty shall be solely responsible for payment to Enron with respect to the Remaining Counterparty Obligation and CommodityLogic shall have no duty, liability or obligation with respect thereto.</w:t>
      </w:r>
    </w:p>
    <w:p>
      <w:pPr>
        <w:pStyle w:val="Normal"/>
        <w:jc w:val="both"/>
        <w:rPr/>
      </w:pPr>
      <w:r>
        <w:rPr>
          <w:b/>
        </w:rPr>
        <w:t>6.</w:t>
        <w:tab/>
      </w:r>
      <w:r>
        <w:rPr>
          <w:b/>
          <w:u w:val="single"/>
        </w:rPr>
        <w:t>PAYMENT TRANSACTION PROCEDURES</w:t>
      </w:r>
    </w:p>
    <w:p>
      <w:pPr>
        <w:pStyle w:val="Normal"/>
        <w:ind w:firstLine="720" w:end="0"/>
        <w:jc w:val="both"/>
        <w:rPr/>
      </w:pPr>
      <w:r>
        <w:rPr/>
        <w:t>(a)</w:t>
        <w:tab/>
        <w:t xml:space="preserve">A Payment Transaction will be initiated by Counterparty offering, by designating (for any prior, current or future delivery month), a desired payment date and an alternate amount to be paid by CommodityLogic to Counterparty or by Counterparty to CommodityLogic, as the case may be, with respect to Specified Volumes under the Designated Commodity Transactions, by "clicking" on the designated spaces in the relevant section of the Module. Subject to acceptance by CommodityLogic of Counterparty’s offer to enter into a specific Payment Transaction, the initiation of a Payment Transaction signifies Counterparty’s agreement thereto and as such shall be a legal, valid and binding obligation of Counterparty. The information in the Module is not, and shall not be construed as, an offer by CommodityLogic to enter into a specific Payment Transaction. </w:t>
      </w:r>
    </w:p>
    <w:p>
      <w:pPr>
        <w:pStyle w:val="Normal"/>
        <w:ind w:firstLine="720" w:end="0"/>
        <w:jc w:val="both"/>
        <w:rPr/>
      </w:pPr>
      <w:r>
        <w:rPr/>
        <w:t>(b)</w:t>
        <w:tab/>
        <w:t>CommodityLogic may, but is not obligated to, accept or reject Counterparty’s offer to enter into any Payment Transaction at its sole discretion.  A Payment Transaction shall be deemed executed at the time that CommodityLogic first signifies its acceptance of Counterparty’s offer to enter into a specific Payment Transaction, accessible on the Website server.</w:t>
      </w:r>
    </w:p>
    <w:p>
      <w:pPr>
        <w:pStyle w:val="Normal"/>
        <w:ind w:firstLine="720" w:end="0"/>
        <w:jc w:val="both"/>
        <w:rPr/>
      </w:pPr>
      <w:r>
        <w:rPr/>
        <w:t>(c)</w:t>
        <w:tab/>
        <w:t>CommodityLogic may, but is not obligated to, furnish Counterparty with a confirmation of each Payment Transaction executed through the Module and, if provided, the terms of any such confirmation shall be valid and binding on Counterparty.</w:t>
      </w:r>
    </w:p>
    <w:p>
      <w:pPr>
        <w:pStyle w:val="Normal"/>
        <w:ind w:firstLine="720" w:end="0"/>
        <w:jc w:val="both"/>
        <w:rPr/>
      </w:pPr>
      <w:r>
        <w:rPr/>
        <w:t>(d)</w:t>
        <w:tab/>
        <w:t xml:space="preserve">No payment is required to be made (or received) by CommodityLogic under any Payment Transaction if an event of default or potential event of default with respect to Counterparty or Enron, as the case may be, has occurred or is continuing under the ESA, the Subscription Agreement, any Other Agreements between Counterparty and Enron which are in effect as of the date of execution of such Payment Transaction or any other provisions established by CommodityLogic that govern the Designated Commodity Transaction which is the subject matter of the relevant Payment Transaction. </w:t>
      </w:r>
    </w:p>
    <w:p>
      <w:pPr>
        <w:pStyle w:val="Normal"/>
        <w:numPr>
          <w:ilvl w:val="0"/>
          <w:numId w:val="0"/>
        </w:numPr>
        <w:jc w:val="both"/>
        <w:outlineLvl w:val="0"/>
        <w:rPr/>
      </w:pPr>
      <w:r>
        <w:rPr>
          <w:b/>
        </w:rPr>
        <w:t>7.</w:t>
        <w:tab/>
      </w:r>
      <w:r>
        <w:rPr>
          <w:b/>
          <w:u w:val="single"/>
        </w:rPr>
        <w:t>REPRESENTATIONS, WARRANTIES AND COVENANTS</w:t>
      </w:r>
    </w:p>
    <w:p>
      <w:pPr>
        <w:pStyle w:val="Normal"/>
        <w:jc w:val="both"/>
        <w:rPr/>
      </w:pPr>
      <w:r>
        <w:rPr/>
        <w:t xml:space="preserve">In addition to the provisions of the ESA, Counterparty hereby represents, warrants and covenants as follows: </w:t>
      </w:r>
    </w:p>
    <w:p>
      <w:pPr>
        <w:pStyle w:val="Normal"/>
        <w:ind w:firstLine="720" w:end="0"/>
        <w:jc w:val="both"/>
        <w:rPr/>
      </w:pPr>
      <w:r>
        <w:rPr/>
        <w:t>(a)</w:t>
        <w:tab/>
        <w:t>Counterparty’s entering into any one or more of the Payment Transactions contemplated within the Module will not constitute or result in a material violation or breach by Counterparty of or material default by Counterparty under the terms of any agreement (whether oral or in writing), indenture, instrument, understanding or other obligation or restriction to which Counterparty is or may become a party to or by which Counterparty is or may become bound during the pendency of any Payment Transaction, including, but not limited to any financial indenture, instrument, understanding or other obligation or restriction currently in place, or to be put in place by Counterparty during the pendency of any Payment Transaction contemplated hereunder, with any creditor, financial institution or other similar entity (collectively, a “</w:t>
      </w:r>
      <w:r>
        <w:rPr>
          <w:u w:val="single"/>
        </w:rPr>
        <w:t>Creditor</w:t>
      </w:r>
      <w:r>
        <w:rPr/>
        <w:t>”) under which Counterparty is bound or obligated to repay money (the latter being hereinafter referred to as a “</w:t>
      </w:r>
      <w:r>
        <w:rPr>
          <w:u w:val="single"/>
        </w:rPr>
        <w:t>Financial Commitment</w:t>
      </w:r>
      <w:r>
        <w:rPr/>
        <w:t>”).</w:t>
      </w:r>
    </w:p>
    <w:p>
      <w:pPr>
        <w:pStyle w:val="Normal"/>
        <w:ind w:firstLine="720" w:end="0"/>
        <w:jc w:val="both"/>
        <w:rPr/>
      </w:pPr>
      <w:r>
        <w:rPr/>
        <w:t>(b)</w:t>
        <w:tab/>
        <w:t>Counterparty is not now and will not be during the pendency of any Payment Transaction a party to any litigation or other enforcement action (either pending or threatened) which could result in a finding, pronouncement, verdict, judgment, order or other ruling against Counterparty having a material adverse impact on Counterparty or its ability to complete any Payment Transaction.</w:t>
      </w:r>
    </w:p>
    <w:p>
      <w:pPr>
        <w:pStyle w:val="Normal"/>
        <w:ind w:firstLine="720" w:end="0"/>
        <w:jc w:val="both"/>
        <w:rPr/>
      </w:pPr>
      <w:r>
        <w:rPr/>
        <w:t xml:space="preserve">(c) </w:t>
        <w:tab/>
        <w:t xml:space="preserve">During the pendency of any Payment Transaction, Counterparty will not undertake any action or enter into any agreement (whether oral or in writing) the result of which would have a material adverse effect upon Counterparty, its business or its ability to satisfy its obligations under any Payment Transaction.  If requested by CommodityLogic, Counterparty shall deliver (i) within one hundred and twenty (120) days following the end of each fiscal year, a copy of its annual report containing consolidated financial statements for such fiscal year certified by independent certified public accountants, and (ii) within sixty (60) days after the end of each of its first three fiscal quarters of each fiscal year, a copy of its quarterly report containing unaudited financial statements for such fiscal quarter.  In all cases, the statements shall be for the most recent accounting period and prepared in accordance with generally accepted accounting principles.  </w:t>
      </w:r>
    </w:p>
    <w:p>
      <w:pPr>
        <w:pStyle w:val="Normal"/>
        <w:ind w:firstLine="720" w:end="0"/>
        <w:jc w:val="both"/>
        <w:rPr/>
      </w:pPr>
      <w:r>
        <w:rPr/>
        <w:t>(d)</w:t>
        <w:tab/>
        <w:t xml:space="preserve">For Payment Transactions deemed within the Module to be “pre-payment” Payment Transactions, regardless of whether Counterparty is deemed by CommodityLogic to be an Investment Grade Counterparty or a Non-Investment Grade Counterparty (both as herein defined), Counterparty agrees that it will not, during the pendency of any Payment Transaction, (i) enter into a transaction that results in a Change of Control (as herein defined), (ii) pledge, hypothecate, encumber or otherwise allow a lien or other security interest to be placed upon any material assets of Counterparty (except as may be previously encumbered in accordance with an existing Financial Commitment) unless CommodityLogic’s or, as applicable, Enron’s, rights are senior to or </w:t>
      </w:r>
      <w:r>
        <w:rPr>
          <w:i/>
          <w:iCs/>
        </w:rPr>
        <w:t>pari passu</w:t>
      </w:r>
      <w:r>
        <w:rPr/>
        <w:t xml:space="preserve"> with the rights of the Creditor receiving the pledge, hypothecation, encumbrance or other form of lien or security interest, or (iii) consummate an Asset Sale (as herein defined) other than for fair market value or where less than seventy-five percent (75%) of the fair market value is paid in cash or in liquid securities, without first obtaining the express written consent of CommodityLogic or, if necessary, Enron.  If Counterparty is a Non-Investment Grade Counterparty (as herein defined), in addition to the covenant contained in the preceding sentence, Counterparty agrees that it will not, during the pendency of any Payment Transaction, </w:t>
      </w:r>
      <w:r>
        <w:rPr>
          <w:color w:val="000000"/>
        </w:rPr>
        <w:t xml:space="preserve">incur any indebtedness or distribute any dividends or other distributions unless, either (1) after giving pro forma effect to the incurrence of such indebtedness or the giving of such dividend, the Counterparty’s Interest Coverage Ratio (as herein defined) exceeds 2.5 to 1.0 or (2) such indebtedness is Permitted Indebtedness (as herein defined).  </w:t>
      </w:r>
      <w:r>
        <w:rPr/>
        <w:t>For purposes of this Annex, the terms “</w:t>
      </w:r>
      <w:r>
        <w:rPr>
          <w:u w:val="single"/>
        </w:rPr>
        <w:t>Asset Sale,</w:t>
      </w:r>
      <w:r>
        <w:rPr/>
        <w:t>” “</w:t>
      </w:r>
      <w:r>
        <w:rPr>
          <w:u w:val="single"/>
        </w:rPr>
        <w:t>Change of Control,</w:t>
      </w:r>
      <w:r>
        <w:rPr/>
        <w:t>” “</w:t>
      </w:r>
      <w:r>
        <w:rPr>
          <w:u w:val="single"/>
        </w:rPr>
        <w:t>Investment Grade Counterparty,”</w:t>
      </w:r>
      <w:r>
        <w:rPr/>
        <w:t xml:space="preserve"> “</w:t>
      </w:r>
      <w:r>
        <w:rPr>
          <w:u w:val="single"/>
        </w:rPr>
        <w:t>Non-Investment Grade Counterparty</w:t>
      </w:r>
      <w:r>
        <w:rPr/>
        <w:t>,” “</w:t>
      </w:r>
      <w:r>
        <w:rPr>
          <w:u w:val="single"/>
        </w:rPr>
        <w:t>Interest Coverage Ratio</w:t>
      </w:r>
      <w:r>
        <w:rPr/>
        <w:t>,” and “</w:t>
      </w:r>
      <w:r>
        <w:rPr>
          <w:u w:val="single"/>
        </w:rPr>
        <w:t>Permitted Indebtedness</w:t>
      </w:r>
      <w:r>
        <w:rPr/>
        <w:t>” are defined on Attachment “A” to this Annex.</w:t>
      </w:r>
    </w:p>
    <w:p>
      <w:pPr>
        <w:pStyle w:val="Normal"/>
        <w:ind w:firstLine="720" w:end="0"/>
        <w:jc w:val="both"/>
        <w:rPr/>
      </w:pPr>
      <w:r>
        <w:rPr/>
        <w:t>(e)</w:t>
        <w:tab/>
        <w:t>Counterparty has reviewed and understands the procedures established by CommodityLogic with respect to the execution of Payment Transactions and agrees to comply with such procedures (and with any changed or amended procedures established by CommodityLogic that are posted on the Website) in connection with such Payment Transactions.</w:t>
      </w:r>
    </w:p>
    <w:p>
      <w:pPr>
        <w:pStyle w:val="Normal"/>
        <w:ind w:firstLine="720" w:end="0"/>
        <w:jc w:val="both"/>
        <w:rPr/>
      </w:pPr>
      <w:r>
        <w:rPr/>
        <w:t>(f)</w:t>
        <w:tab/>
        <w:t xml:space="preserve">Counterparty hereby acknowledges that the full payment of the alternate payment amount by CommodityLogic to Counterparty under any Payment Transaction shall be in full satisfaction of Enron's payment obligations with respect to the relevant Specified Enron Obligation as if such payment were made by Enron directly to Counterparty. Counterparty hereby acknowledges and agrees that upon CommodityLogic’s payment, Enron shall be fully released from all of its respective duties, liabilities and obligations with respect to the relevant Enron Specified Obligation; </w:t>
      </w:r>
      <w:r>
        <w:rPr>
          <w:u w:val="single"/>
        </w:rPr>
        <w:t>provided</w:t>
      </w:r>
      <w:r>
        <w:rPr/>
        <w:t xml:space="preserve"> </w:t>
      </w:r>
      <w:r>
        <w:rPr>
          <w:u w:val="single"/>
        </w:rPr>
        <w:t>that</w:t>
      </w:r>
      <w:r>
        <w:rPr/>
        <w:t>, in the event such payment is not made to CommodityLogic by Counterparty, Enron may seek payment directly from Counterparty in accordance with the provisions of the Other Agreements related to the applicable Designated Commodity Transactions in effect prior to the relevant Payment Transaction.</w:t>
      </w:r>
    </w:p>
    <w:p>
      <w:pPr>
        <w:pStyle w:val="Normal"/>
        <w:ind w:firstLine="720" w:end="0"/>
        <w:jc w:val="both"/>
        <w:rPr/>
      </w:pPr>
      <w:r>
        <w:rPr/>
        <w:t>(g)</w:t>
        <w:tab/>
        <w:t>CommodityLogic, on behalf of Enron, hereby acknowledges that the full payment of the alternate payment amount by Counterparty to CommodityLogic under any Payment Transaction shall be in full satisfaction of Counterparty’s payment obligations with respect to the relevant Specified Counterparty Obligation as if such payment were made by Counterparty directly to Enron. CommodityLogic, on behalf of Enron, hereby acknowledges and agrees that upon Counterparty’s payment to CommodityLogic, Counterparty shall be fully released from all of its respective duties, liabilities and obligations with respect to the relevant Counterparty Specified Obligation.</w:t>
      </w:r>
    </w:p>
    <w:p>
      <w:pPr>
        <w:pStyle w:val="Normal"/>
        <w:ind w:firstLine="720" w:end="0"/>
        <w:jc w:val="both"/>
        <w:rPr/>
      </w:pPr>
      <w:r>
        <w:rPr/>
        <w:t>(h)</w:t>
        <w:tab/>
        <w:t>Counterparty hereby acknowledges and agrees that any payment made by CommodityLogic under any Payment Transaction remains fully subject to adjustment in accordance with any and all rights and remedies which Counterparty or Enron, as the case may be, may have with respect to any Designated Commodity Transaction under any Other Agreements between Counterparty and Enron which are in effect as of the date of execution of any Payment Transaction, including but not limited to the right to adjust payments in respect of any deficiency in quality or quantity of the underlying commodity discovered subsequent to any payment.</w:t>
      </w:r>
    </w:p>
    <w:p>
      <w:pPr>
        <w:pStyle w:val="Normal"/>
        <w:ind w:firstLine="720" w:end="0"/>
        <w:jc w:val="both"/>
        <w:rPr/>
      </w:pPr>
      <w:r>
        <w:rPr/>
        <w:t>(i)</w:t>
        <w:tab/>
        <w:t>Counterparty hereby acknowledges and agrees that (i) CommodityLogic may rely, and shall be protected in acting, upon any instruction or other communication that it reasonably believes to be genuine and authorized by Counterparty; and (ii) CommodityLogic shall not be liable or responsible for anything done or omitted to be done by it in good faith and in the absence of gross negligence.  Counterparty shall indemnify and hold CommodityLogic harmless from and against any losses or liabilities arising from action taken or not taken pursuant to instruction of Counterparty hereunder, except to the extent that any such loss or liability results from CommodityLogic’s gross negligence or bad faith.</w:t>
      </w:r>
    </w:p>
    <w:p>
      <w:pPr>
        <w:pStyle w:val="Normal"/>
        <w:numPr>
          <w:ilvl w:val="0"/>
          <w:numId w:val="0"/>
        </w:numPr>
        <w:jc w:val="both"/>
        <w:outlineLvl w:val="0"/>
        <w:rPr/>
      </w:pPr>
      <w:r>
        <w:rPr>
          <w:b/>
        </w:rPr>
        <w:t>8.</w:t>
        <w:tab/>
      </w:r>
      <w:r>
        <w:rPr>
          <w:b/>
          <w:u w:val="single"/>
        </w:rPr>
        <w:t>GENERAL</w:t>
      </w:r>
      <w:r>
        <w:rPr/>
        <w:t xml:space="preserve"> </w:t>
      </w:r>
    </w:p>
    <w:p>
      <w:pPr>
        <w:pStyle w:val="Normal"/>
        <w:ind w:firstLine="720" w:end="0"/>
        <w:jc w:val="both"/>
        <w:rPr/>
      </w:pPr>
      <w:r>
        <w:rPr/>
        <w:t>(a)</w:t>
        <w:tab/>
        <w:t>No Payment Transaction may be assigned by Counterparty to any party without the express prior written consent of CommodityLogic.  All Payment Transactions shall be binding upon each party hereto and its successors and permitted assigns in accordance with their respective terms.</w:t>
      </w:r>
    </w:p>
    <w:p>
      <w:pPr>
        <w:pStyle w:val="Normal"/>
        <w:ind w:firstLine="720" w:end="0"/>
        <w:jc w:val="both"/>
        <w:rPr/>
      </w:pPr>
      <w:r>
        <w:rPr/>
        <w:t xml:space="preserve">(b) </w:t>
        <w:tab/>
        <w:t xml:space="preserve">All payments by Counterparty to CommodityLogic shall be made in accordance with the account information furnished by CommodityLogic to Counterparty via the Website or otherwise. All payments made by CommodityLogic shall be made in accordance with the account information furnished by Counterparty and Enron pursuant to the provisions relating to the Designated Commodity Transactions that are the subject of the relevant Payment Transaction. </w:t>
      </w:r>
    </w:p>
    <w:p>
      <w:pPr>
        <w:pStyle w:val="Normal"/>
        <w:ind w:firstLine="720" w:end="0"/>
        <w:jc w:val="both"/>
        <w:rPr/>
      </w:pPr>
      <w:r>
        <w:rPr/>
        <w:t xml:space="preserve">(c) </w:t>
        <w:tab/>
        <w:t>CommodityLogic reserves the right at all times to correct, whether before, at the time of, or after a Payment Transaction has been executed by the parties, any manifest error in the calculation or presentation of the amounts, numbers, or figures listed by CommodityLogic on the Website or the Module, and Counterparty agrees to the correction of any such error after notice thereof from CommodityLogic and to make any resultant adjustments required by CommodityLogic to payments previously made or to be made and/or to Commodity volumes delivered to, or to be delivered by, Enron.</w:t>
      </w:r>
    </w:p>
    <w:p>
      <w:pPr>
        <w:pStyle w:val="Normal"/>
        <w:ind w:firstLine="720" w:end="0"/>
        <w:jc w:val="both"/>
        <w:rPr/>
      </w:pPr>
      <w:r>
        <w:rPr/>
        <w:t>(d)</w:t>
        <w:tab/>
        <w:t xml:space="preserve">Except in association with an actual Payment Transaction, information provided within the Module to Counterparty is updated or “refreshed” by CommodityLogic no more frequently than once during each twenty-four (24) hour day (beginning at 12:00 a.m. (CST) and ending at 11:59 p.m. (CST)).  In relation to actual Payment Transactions, information provided within the Module is updated as necessary to reflect the actions taken by Counterparty or Enron in relation to each such Payment Transaction; </w:t>
      </w:r>
      <w:r>
        <w:rPr>
          <w:u w:val="single"/>
        </w:rPr>
        <w:t>provided</w:t>
      </w:r>
      <w:r>
        <w:rPr/>
        <w:t xml:space="preserve">, </w:t>
      </w:r>
      <w:r>
        <w:rPr>
          <w:u w:val="single"/>
        </w:rPr>
        <w:t>however</w:t>
      </w:r>
      <w:r>
        <w:rPr/>
        <w:t xml:space="preserve">, Counterparty recognizes and agrees that the information within the Module is not intended to be displayed in a “real time” format. </w:t>
      </w:r>
    </w:p>
    <w:p>
      <w:pPr>
        <w:pStyle w:val="Normal"/>
        <w:tabs>
          <w:tab w:val="left" w:pos="720" w:leader="none"/>
        </w:tabs>
        <w:jc w:val="both"/>
        <w:rPr/>
      </w:pPr>
      <w:r>
        <w:rPr/>
        <w:tab/>
        <w:t>(e)</w:t>
        <w:tab/>
        <w:t xml:space="preserve">Notwithstanding anything else in this Annex or the ESA to the contrary, under no circumstance shall either CommodityLogic or the Counterparty or Enron, as the case may be, be liable to each other for a failure to perform based upon a force majeure event.  For purposes of this Annex and the Module, a "force majeure event" shall mean and include acts of God, fire, civil disobedience, labor disputes or labor shortages, utility outages, strikes, sabotage, or action or restraint by court order of any governmental authority which results in either party being unable to access or otherwise make use of the Module for purposes of completing a Payment Transaction.  At the onset of a force majeure event, the party subject to such event shall provide written notice to the other party of the occurrence of a force majeure event. While a force majeure event is ongoing, the party experiencing a force majeure event shall be excused from performance under any affected Payment Transaction(s) until the force majeure event has passed, subject only to any agreement for completing the affected Payment Transaction(s) by a means other than through access to or use of the Module.  Once a force majeure event has passed, the obligations under any Payment Transaction shall be reinstated.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(f)</w:t>
        <w:tab/>
      </w:r>
      <w:r>
        <w:rPr>
          <w:color w:val="000000"/>
        </w:rPr>
        <w:t>All agreements between CommodityLogic and Counterparty in association with any Payment Transaction are hereby limited so that in no contingency, whether by reason of demand for payment or acceleration of the maturity of any sums due or otherwise, shall any interest contracted for, charged or received by CommodityLogic exceed the Maximum Lawful Rate (as defined in Attachment “A” to this Annex).  If from any circumstance Payee shall ever receive anything of value deemed interest by applicable law in excess of the Maximum Lawful Rate, an amount equal to any excessive interest exceeding the unpaid sum of any Payment Transaction shall be refunded to Counterparty.  All interest paid or agreed to be paid to CommodityLogic, if any, shall, to the extent permitted by applicable law, be amortized, prorated, allocated, and spread throughout the full period until payment in full of any obligation under a Payment Transaction so that the interest thereon for such full period shall not exceed the Maximum Lawful Rate.  For purposes of this Annex and the Agreement, Counterparty agrees that the Maximum Lawful Rate shall be the "indicated rate ceiling", as applicable under the laws of the State of New York, as amended from time to time; provided, however, that to the extent permitted by applicable law, CommodityLogic may also rely on alternative maximum rates of interest under other applicable laws if such laws permit greater interest.  This paragraph shall control in any Payment Transactions entered into between CommodityLogic and Counterparty pursuant to this Annex and the Agreement.</w:t>
      </w:r>
    </w:p>
    <w:p>
      <w:pPr>
        <w:pStyle w:val="Normal"/>
        <w:tabs>
          <w:tab w:val="left" w:pos="720" w:leader="none"/>
        </w:tabs>
        <w:jc w:val="both"/>
        <w:rPr>
          <w:color w:val="000000"/>
        </w:rPr>
      </w:pPr>
      <w:r>
        <w:rPr>
          <w:color w:val="000000"/>
        </w:rPr>
      </w:r>
      <w:r>
        <w:br w:type="page"/>
      </w:r>
    </w:p>
    <w:p>
      <w:pPr>
        <w:pStyle w:val="Normal"/>
        <w:spacing w:before="0" w:after="0"/>
        <w:jc w:val="center"/>
        <w:rPr>
          <w:b/>
          <w:u w:val="single"/>
        </w:rPr>
      </w:pPr>
      <w:r>
        <w:rPr>
          <w:b/>
          <w:u w:val="single"/>
        </w:rPr>
        <w:t>ATTACHMENT “A”</w:t>
      </w:r>
    </w:p>
    <w:p>
      <w:pPr>
        <w:pStyle w:val="Normal"/>
        <w:spacing w:before="0" w:after="0"/>
        <w:jc w:val="center"/>
        <w:rPr>
          <w:b/>
          <w:u w:val="single"/>
        </w:rPr>
      </w:pPr>
      <w:r>
        <w:rPr>
          <w:b/>
          <w:u w:val="single"/>
        </w:rPr>
        <w:t>TO</w:t>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 xml:space="preserve">BANKLOGIC MODULE </w:t>
      </w:r>
    </w:p>
    <w:p>
      <w:pPr>
        <w:pStyle w:val="Normal"/>
        <w:spacing w:before="0" w:after="0"/>
        <w:jc w:val="center"/>
        <w:rPr>
          <w:b/>
          <w:u w:val="single"/>
        </w:rPr>
      </w:pPr>
      <w:r>
        <w:rPr>
          <w:b/>
          <w:u w:val="single"/>
        </w:rPr>
        <w:t>(ENRON RELATED PAYMENT TRANSACTIONS)</w:t>
      </w:r>
    </w:p>
    <w:p>
      <w:pPr>
        <w:pStyle w:val="Normal"/>
        <w:spacing w:before="0" w:after="0"/>
        <w:jc w:val="center"/>
        <w:rPr>
          <w:b/>
          <w:u w:val="single"/>
        </w:rPr>
      </w:pPr>
      <w:r>
        <w:rPr>
          <w:b/>
          <w:u w:val="single"/>
        </w:rPr>
      </w:r>
    </w:p>
    <w:p>
      <w:pPr>
        <w:pStyle w:val="Normal"/>
        <w:spacing w:before="0" w:after="0"/>
        <w:rPr>
          <w:b/>
          <w:bCs/>
          <w:u w:val="single"/>
        </w:rPr>
      </w:pPr>
      <w:r>
        <w:rPr>
          <w:b/>
          <w:bCs/>
          <w:u w:val="single"/>
        </w:rPr>
      </w:r>
    </w:p>
    <w:p>
      <w:pPr>
        <w:pStyle w:val="Normal"/>
        <w:spacing w:before="0" w:after="0"/>
        <w:jc w:val="both"/>
        <w:rPr>
          <w:bCs/>
        </w:rPr>
      </w:pPr>
      <w:r>
        <w:rPr>
          <w:bCs/>
        </w:rPr>
        <w:t>This Attachment “A” to the Annex to the Electronic Services Agreement for the BankLogic Module (Enron Related Payment Transactions) presents definitions for terms used in the Annex, but not otherwise defined therein.  Those terms are the following:</w:t>
      </w:r>
    </w:p>
    <w:p>
      <w:pPr>
        <w:pStyle w:val="Normal"/>
        <w:spacing w:before="0" w:after="0"/>
        <w:jc w:val="both"/>
        <w:rPr>
          <w:bCs/>
        </w:rPr>
      </w:pPr>
      <w:r>
        <w:rPr>
          <w:bCs/>
        </w:rPr>
      </w:r>
    </w:p>
    <w:p>
      <w:pPr>
        <w:pStyle w:val="Normal"/>
        <w:spacing w:before="0" w:after="0"/>
        <w:jc w:val="both"/>
        <w:rPr/>
      </w:pPr>
      <w:r>
        <w:rPr>
          <w:bCs/>
        </w:rPr>
        <w:t>“</w:t>
      </w:r>
      <w:r>
        <w:rPr>
          <w:bCs/>
          <w:u w:val="single"/>
        </w:rPr>
        <w:t>Asset Sale</w:t>
      </w:r>
      <w:r>
        <w:rPr>
          <w:bCs/>
        </w:rPr>
        <w:t xml:space="preserve">” shall mean any transfer, conveyance, sale, lease or other disposition not otherwise restricted under any Financial Commitment Counterparty may have to any Creditor involving the transfer of shares of the capital stock or other property of Counterparty, whether in one transaction or a series of transactions; </w:t>
      </w:r>
      <w:r>
        <w:rPr>
          <w:bCs/>
          <w:u w:val="single"/>
        </w:rPr>
        <w:t>provided</w:t>
      </w:r>
      <w:r>
        <w:rPr>
          <w:bCs/>
        </w:rPr>
        <w:t xml:space="preserve">, </w:t>
      </w:r>
      <w:r>
        <w:rPr>
          <w:bCs/>
          <w:u w:val="single"/>
        </w:rPr>
        <w:t>however</w:t>
      </w:r>
      <w:r>
        <w:rPr>
          <w:bCs/>
        </w:rPr>
        <w:t xml:space="preserve">, the term “Asset Sale” shall not include a disposition of all or substantially all the Counterparty’s assets in one transaction, except as may be otherwise restricted under any Financial Commitment Counterparty may have to any Creditor. </w:t>
      </w:r>
    </w:p>
    <w:p>
      <w:pPr>
        <w:pStyle w:val="Normal"/>
        <w:spacing w:before="0" w:after="0"/>
        <w:jc w:val="both"/>
        <w:rPr>
          <w:bCs/>
        </w:rPr>
      </w:pPr>
      <w:r>
        <w:rPr>
          <w:bCs/>
        </w:rPr>
      </w:r>
    </w:p>
    <w:p>
      <w:pPr>
        <w:pStyle w:val="Normal"/>
        <w:spacing w:before="0" w:after="0"/>
        <w:jc w:val="both"/>
        <w:rPr/>
      </w:pPr>
      <w:r>
        <w:rPr>
          <w:bCs/>
        </w:rPr>
        <w:t>“</w:t>
      </w:r>
      <w:r>
        <w:rPr>
          <w:bCs/>
          <w:u w:val="single"/>
        </w:rPr>
        <w:t>Change of Control</w:t>
      </w:r>
      <w:r>
        <w:rPr>
          <w:bCs/>
        </w:rPr>
        <w:t>” shall mean (i) the sale, lease, conveyance or transfer of all or substantially all of the assets of Counterparty (other than to a wholly owned subsidiary of Counterparty), (ii) the consolidation with or merger into another legal entity pursuant to a transaction in which all or substantially all of the voting shares of stock then outstanding are reclassified into or exchanged for cash, securities or other property, other than any such transaction in which the holders of the voting shares of stock immediately prior to the transaction, own (directly or indirectly) not less than a majority of the voting shares of stock in the surviving legal entity immediately after such transaction in substantially the same proportion as before the occurrence of the transaction, or (iii) the stockholders of Counterparty shall have approved any plan of liquidation or dissolution of Counterparty.</w:t>
      </w:r>
    </w:p>
    <w:p>
      <w:pPr>
        <w:pStyle w:val="Normal"/>
        <w:spacing w:before="0" w:after="0"/>
        <w:jc w:val="both"/>
        <w:rPr>
          <w:bCs/>
        </w:rPr>
      </w:pPr>
      <w:r>
        <w:rPr>
          <w:bCs/>
        </w:rPr>
      </w:r>
    </w:p>
    <w:p>
      <w:pPr>
        <w:pStyle w:val="Normal"/>
        <w:widowControl/>
        <w:autoSpaceDE w:val="false"/>
        <w:spacing w:before="0" w:after="0"/>
        <w:jc w:val="both"/>
        <w:rPr>
          <w:bCs/>
        </w:rPr>
      </w:pPr>
      <w:r>
        <w:rPr>
          <w:bCs/>
          <w:u w:val="single"/>
        </w:rPr>
        <w:t>“</w:t>
      </w:r>
      <w:r>
        <w:rPr>
          <w:bCs/>
          <w:u w:val="single"/>
        </w:rPr>
        <w:t>Interest Coverage Ratio”</w:t>
      </w:r>
      <w:r>
        <w:rPr>
          <w:bCs/>
        </w:rPr>
        <w:t xml:space="preserve"> shall mean </w:t>
      </w:r>
      <w:r>
        <w:rPr>
          <w:szCs w:val="24"/>
        </w:rPr>
        <w:t>the ratio of (i) Counterparty's net income plus interest expense, taxes, depreciation and amortization ("EBITDA") during the most recent four quarter period for which financial statements have been provided to CommodityLogic immediately preceding any Payment Transaction to (ii) the Counterparty's aggregate interest expense for the same period.  The calculation of the Interest Coverage Ratio shall include all financial statement items that would be classified as EBITDA and interest expense for the relevant period according to generally accepted accounting principles (“</w:t>
      </w:r>
      <w:r>
        <w:rPr>
          <w:szCs w:val="24"/>
          <w:u w:val="single"/>
        </w:rPr>
        <w:t>GAAP</w:t>
      </w:r>
      <w:r>
        <w:rPr>
          <w:szCs w:val="24"/>
        </w:rPr>
        <w:t>”).</w:t>
      </w:r>
    </w:p>
    <w:p>
      <w:pPr>
        <w:pStyle w:val="Normal"/>
        <w:spacing w:before="0" w:after="0"/>
        <w:rPr>
          <w:bCs/>
        </w:rPr>
      </w:pPr>
      <w:r>
        <w:rPr>
          <w:bCs/>
        </w:rPr>
      </w:r>
    </w:p>
    <w:p>
      <w:pPr>
        <w:pStyle w:val="Normal"/>
        <w:spacing w:before="0" w:after="0"/>
        <w:jc w:val="both"/>
        <w:rPr/>
      </w:pPr>
      <w:r>
        <w:rPr>
          <w:bCs/>
          <w:u w:val="single"/>
        </w:rPr>
        <w:t>“</w:t>
      </w:r>
      <w:r>
        <w:rPr>
          <w:bCs/>
          <w:u w:val="single"/>
        </w:rPr>
        <w:t>Investment Grade Counterparty”</w:t>
      </w:r>
      <w:r>
        <w:rPr>
          <w:bCs/>
        </w:rPr>
        <w:t xml:space="preserve"> shall mean a Counterparty who maintains an investment rating at the time Counterparty makes its offer to CommodityLogic to enter into a Payment Transaction* of Baa3 (or higher) according to Moody’s Investors Service, Inc., and BBB- (or higher) according to Standard &amp; Poor’s Rating Group (collectively, a “</w:t>
      </w:r>
      <w:r>
        <w:rPr>
          <w:bCs/>
          <w:u w:val="single"/>
        </w:rPr>
        <w:t>Superior Rating</w:t>
      </w:r>
      <w:r>
        <w:rPr>
          <w:bCs/>
        </w:rPr>
        <w:t>”).  If a Counterparty has no ratings from Moody’s and Standard &amp; Poor’s, “Investment Grade Counterparty” shall mean a Counterparty who has submitted sufficient financial information to CommodityLogic for it to be determined by CommodityLogic, within its discretion, that the Counterparty is worthy of a Superior Rating.</w:t>
      </w:r>
    </w:p>
    <w:p>
      <w:pPr>
        <w:pStyle w:val="Normal"/>
        <w:spacing w:before="0" w:after="0"/>
        <w:jc w:val="both"/>
        <w:rPr>
          <w:bCs/>
        </w:rPr>
      </w:pPr>
      <w:r>
        <w:rPr>
          <w:bCs/>
        </w:rPr>
      </w:r>
    </w:p>
    <w:p>
      <w:pPr>
        <w:pStyle w:val="Heading1"/>
        <w:ind w:hanging="0" w:start="0"/>
        <w:rPr/>
      </w:pPr>
      <w:r>
        <w:rPr/>
        <w:t>“</w:t>
      </w:r>
      <w:r>
        <w:rPr/>
        <w:t>Maximum Lawful Rate”</w:t>
      </w:r>
      <w:r>
        <w:rPr>
          <w:u w:val="none"/>
        </w:rPr>
        <w:t xml:space="preserve">  shall mean the maximum rate of interest permitted by applicable law.</w:t>
      </w:r>
    </w:p>
    <w:p>
      <w:pPr>
        <w:pStyle w:val="Normal"/>
        <w:rPr>
          <w:u w:val="none"/>
        </w:rPr>
      </w:pPr>
      <w:r>
        <w:rPr>
          <w:u w:val="none"/>
        </w:rPr>
      </w:r>
    </w:p>
    <w:p>
      <w:pPr>
        <w:pStyle w:val="Normal"/>
        <w:spacing w:before="0" w:after="0"/>
        <w:jc w:val="both"/>
        <w:rPr/>
      </w:pPr>
      <w:r>
        <w:rPr>
          <w:bCs/>
          <w:u w:val="single"/>
        </w:rPr>
        <w:t>“</w:t>
      </w:r>
      <w:r>
        <w:rPr>
          <w:bCs/>
          <w:u w:val="single"/>
        </w:rPr>
        <w:t>Non-Investment Grade Counterparty”</w:t>
      </w:r>
      <w:r>
        <w:rPr>
          <w:bCs/>
        </w:rPr>
        <w:t xml:space="preserve"> shall mean a Counterparty whose investment rating is not equal to a Superior Rating at the time Counterparty makes its offer to CommodityLogic to enter into a Payment Transaction.*</w:t>
      </w:r>
    </w:p>
    <w:p>
      <w:pPr>
        <w:pStyle w:val="Normal"/>
        <w:spacing w:before="0" w:after="0"/>
        <w:jc w:val="both"/>
        <w:rPr>
          <w:bCs/>
        </w:rPr>
      </w:pPr>
      <w:r>
        <w:rPr>
          <w:bCs/>
        </w:rPr>
      </w:r>
    </w:p>
    <w:p>
      <w:pPr>
        <w:pStyle w:val="Normal"/>
        <w:spacing w:before="0" w:after="0"/>
        <w:jc w:val="both"/>
        <w:rPr/>
      </w:pPr>
      <w:r>
        <w:rPr>
          <w:bCs/>
        </w:rPr>
        <w:t>“</w:t>
      </w:r>
      <w:r>
        <w:rPr>
          <w:bCs/>
          <w:u w:val="single"/>
        </w:rPr>
        <w:t>Permitted Indebtedness</w:t>
      </w:r>
      <w:r>
        <w:rPr>
          <w:bCs/>
        </w:rPr>
        <w:t>” shall mean indebtedness incurred by Counterparty in the normal course of its business during the pendency of any Payment Transaction and for which Counterparty would not otherwise be in violation or breach, as a result of incurring such indebtedness, of any obligations, restrictions, covenants (positive or negative) or other agreements with any lender, creditor or other third party having a financial interest in Counterparty or with whom Counterparty maintains a financial relationship.</w:t>
      </w:r>
    </w:p>
    <w:p>
      <w:pPr>
        <w:pStyle w:val="Normal"/>
        <w:spacing w:before="0" w:after="0"/>
        <w:jc w:val="both"/>
        <w:rPr>
          <w:bCs/>
        </w:rPr>
      </w:pPr>
      <w:r>
        <w:rPr>
          <w:bCs/>
        </w:rPr>
      </w:r>
    </w:p>
    <w:p>
      <w:pPr>
        <w:pStyle w:val="Normal"/>
        <w:spacing w:before="0" w:after="0"/>
        <w:jc w:val="both"/>
        <w:rPr>
          <w:bCs/>
        </w:rPr>
      </w:pPr>
      <w:r>
        <w:rPr>
          <w:bCs/>
        </w:rPr>
      </w:r>
    </w:p>
    <w:p>
      <w:pPr>
        <w:pStyle w:val="Normal"/>
        <w:spacing w:before="0" w:after="0"/>
        <w:jc w:val="both"/>
        <w:rPr>
          <w:bCs/>
        </w:rPr>
      </w:pPr>
      <w:r>
        <w:rPr>
          <w:bCs/>
        </w:rPr>
        <w:t>*NOTE:  The definitions indicated above allow for the possibility of a Counterparty to be an Investment Grade Counterparty for certain Payment Transactions and a Non-Investment Grade Counterparty for other Payment Transactions since the trigger point for classification is the timing of the offer by Counterparty to enter into a Payment Transaction.  For purposes of these definitions and the requirements of CommodityLogic in dealing with a Counterparty, the provisions of the Annex are referenced and CommodityLogic hereby reserves the right to re-classify a Counterparty for any one or more Payment Transactions without notice to Counterparty.</w:t>
      </w:r>
    </w:p>
    <w:p>
      <w:pPr>
        <w:pStyle w:val="Normal"/>
        <w:spacing w:before="0" w:after="0"/>
        <w:rPr>
          <w:bCs/>
        </w:rPr>
      </w:pPr>
      <w:r>
        <w:rPr>
          <w:bCs/>
        </w:rPr>
      </w:r>
    </w:p>
    <w:p>
      <w:pPr>
        <w:pStyle w:val="Normal"/>
        <w:spacing w:before="0" w:after="0"/>
        <w:rPr>
          <w:bCs/>
        </w:rPr>
      </w:pPr>
      <w:r>
        <w:rPr>
          <w:bCs/>
        </w:rPr>
      </w:r>
    </w:p>
    <w:p>
      <w:pPr>
        <w:pStyle w:val="Normal"/>
        <w:spacing w:before="0" w:after="0"/>
        <w:rPr>
          <w:bCs/>
        </w:rPr>
      </w:pPr>
      <w:r>
        <w:rPr>
          <w:bCs/>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2387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r>
  </w:p>
  <w:p>
    <w:pPr>
      <w:pStyle w:val="Header"/>
      <w:spacing w:before="0" w:after="0"/>
      <w:jc w:val="end"/>
      <w:rPr>
        <w:b/>
        <w:sz w:val="20"/>
        <w:u w:val="single"/>
      </w:rPr>
    </w:pPr>
    <w:r>
      <w:rPr>
        <w:b/>
        <w:sz w:val="20"/>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0"/>
      <w:jc w:val="both"/>
      <w:outlineLvl w:val="0"/>
    </w:pPr>
    <w:rPr>
      <w:bCs/>
      <w:u w:val="single"/>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2001-07-13T16:27:00Z</dcterms:created>
  <dc:creator>Alan B. Aronowitz</dc:creator>
  <dc:description/>
  <dc:language>en-CA</dc:language>
  <cp:lastModifiedBy>mgreenbe</cp:lastModifiedBy>
  <cp:lastPrinted>2001-05-30T13:48:00Z</cp:lastPrinted>
  <dcterms:modified xsi:type="dcterms:W3CDTF">2001-07-13T16:34:00Z</dcterms:modified>
  <cp:revision>6</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