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BANDWIDTH PRODUCT DESCRIPTION</w:t>
      </w:r>
    </w:p>
    <w:p>
      <w:pPr>
        <w:pStyle w:val="Normal"/>
        <w:rPr>
          <w:b/>
          <w:u w:val="single"/>
        </w:rPr>
      </w:pPr>
      <w:r>
        <w:rPr>
          <w:b/>
          <w:u w:val="single"/>
        </w:rPr>
      </w:r>
    </w:p>
    <w:p>
      <w:pPr>
        <w:pStyle w:val="Normal"/>
        <w:rPr>
          <w:b/>
        </w:rPr>
      </w:pPr>
      <w:r>
        <w:rPr>
          <w:b/>
        </w:rPr>
      </w:r>
    </w:p>
    <w:p>
      <w:pPr>
        <w:pStyle w:val="Heading2"/>
        <w:ind w:hanging="0" w:start="0"/>
        <w:rPr>
          <w:u w:val="single"/>
        </w:rPr>
      </w:pPr>
      <w:r>
        <w:rPr>
          <w:u w:val="single"/>
        </w:rPr>
        <w:t>Product Type Details</w:t>
      </w:r>
    </w:p>
    <w:p>
      <w:pPr>
        <w:pStyle w:val="Normal"/>
        <w:jc w:val="both"/>
        <w:rPr>
          <w:b/>
          <w:u w:val="single"/>
        </w:rPr>
      </w:pPr>
      <w:r>
        <w:rPr>
          <w:b/>
          <w:u w:val="single"/>
        </w:rPr>
      </w:r>
    </w:p>
    <w:p>
      <w:pPr>
        <w:pStyle w:val="Normal"/>
        <w:numPr>
          <w:ilvl w:val="0"/>
          <w:numId w:val="8"/>
        </w:numPr>
        <w:jc w:val="both"/>
        <w:rPr/>
      </w:pPr>
      <w:r>
        <w:rPr/>
        <w:t xml:space="preserve">Unique Description: </w:t>
        <w:rPrChange w:id="0" w:author="cynthia_harkness" w:date="2000-04-27T11:44:00Z"/>
      </w:r>
    </w:p>
    <w:p>
      <w:pPr>
        <w:pStyle w:val="Normal"/>
        <w:numPr>
          <w:ilvl w:val="0"/>
          <w:numId w:val="3"/>
        </w:numPr>
        <w:tabs>
          <w:tab w:val="clear" w:pos="720"/>
          <w:tab w:val="left" w:pos="2520" w:leader="none"/>
        </w:tabs>
        <w:ind w:hanging="360" w:start="2520" w:end="0"/>
        <w:jc w:val="both"/>
        <w:rPr/>
      </w:pPr>
      <w:r>
        <w:rPr>
          <w:rPrChange w:id="0" w:author="cynthia_harkness" w:date="2000-04-27T11:44:00Z"/>
        </w:rPr>
        <w:t>US Bandwidth DS3 Physical Forward</w:t>
      </w:r>
      <w:r>
        <w:rPr/>
        <w:t xml:space="preserve"> </w:t>
      </w:r>
    </w:p>
    <w:p>
      <w:pPr>
        <w:pStyle w:val="Normal"/>
        <w:numPr>
          <w:ilvl w:val="0"/>
          <w:numId w:val="3"/>
        </w:numPr>
        <w:tabs>
          <w:tab w:val="clear" w:pos="720"/>
          <w:tab w:val="left" w:pos="2520" w:leader="none"/>
        </w:tabs>
        <w:ind w:hanging="360" w:start="2520" w:end="0"/>
        <w:jc w:val="both"/>
        <w:rPr/>
      </w:pPr>
      <w:r>
        <w:rPr/>
        <w:t xml:space="preserve">US Bandwidth OC3 Physical Forward </w:t>
      </w:r>
    </w:p>
    <w:p>
      <w:pPr>
        <w:pStyle w:val="Normal"/>
        <w:numPr>
          <w:ilvl w:val="0"/>
          <w:numId w:val="3"/>
        </w:numPr>
        <w:tabs>
          <w:tab w:val="clear" w:pos="720"/>
          <w:tab w:val="left" w:pos="2520" w:leader="none"/>
        </w:tabs>
        <w:ind w:hanging="360" w:start="2520" w:end="0"/>
        <w:jc w:val="both"/>
        <w:rPr/>
      </w:pPr>
      <w:r>
        <w:rPr/>
        <w:t>US Bandwidth OC3c Physical Forward</w:t>
      </w:r>
    </w:p>
    <w:p>
      <w:pPr>
        <w:pStyle w:val="Normal"/>
        <w:numPr>
          <w:ilvl w:val="0"/>
          <w:numId w:val="4"/>
        </w:numPr>
        <w:jc w:val="both"/>
        <w:rPr/>
      </w:pPr>
      <w:r>
        <w:rPr/>
        <w:t>Product Description Prefix:</w:t>
        <w:rPrChange w:id="0" w:author="cynthia_harkness" w:date="2000-04-27T11:44:00Z"/>
      </w:r>
    </w:p>
    <w:p>
      <w:pPr>
        <w:pStyle w:val="Normal"/>
        <w:numPr>
          <w:ilvl w:val="0"/>
          <w:numId w:val="6"/>
        </w:numPr>
        <w:tabs>
          <w:tab w:val="clear" w:pos="720"/>
          <w:tab w:val="left" w:pos="2520" w:leader="none"/>
        </w:tabs>
        <w:ind w:hanging="360" w:start="2520" w:end="0"/>
        <w:jc w:val="both"/>
        <w:rPr/>
      </w:pPr>
      <w:r>
        <w:rPr>
          <w:rPrChange w:id="0" w:author="cynthia_harkness" w:date="2000-04-27T11:44:00Z"/>
        </w:rPr>
        <w:t>US DS3 Phy Fwd</w:t>
      </w:r>
      <w:r>
        <w:rPr/>
        <w:t xml:space="preserve"> </w:t>
      </w:r>
    </w:p>
    <w:p>
      <w:pPr>
        <w:pStyle w:val="Normal"/>
        <w:numPr>
          <w:ilvl w:val="0"/>
          <w:numId w:val="6"/>
        </w:numPr>
        <w:tabs>
          <w:tab w:val="clear" w:pos="720"/>
          <w:tab w:val="left" w:pos="2520" w:leader="none"/>
        </w:tabs>
        <w:ind w:hanging="360" w:start="2520" w:end="0"/>
        <w:jc w:val="both"/>
        <w:rPr/>
      </w:pPr>
      <w:r>
        <w:rPr/>
        <w:t xml:space="preserve">US OC3 Phy Fwd </w:t>
      </w:r>
    </w:p>
    <w:p>
      <w:pPr>
        <w:pStyle w:val="Normal"/>
        <w:numPr>
          <w:ilvl w:val="0"/>
          <w:numId w:val="6"/>
        </w:numPr>
        <w:tabs>
          <w:tab w:val="clear" w:pos="720"/>
          <w:tab w:val="left" w:pos="2520" w:leader="none"/>
        </w:tabs>
        <w:ind w:hanging="360" w:start="2520" w:end="0"/>
        <w:jc w:val="both"/>
        <w:rPr/>
      </w:pPr>
      <w:r>
        <w:rPr/>
        <w:t>US OC3c Phy Fwd</w:t>
      </w:r>
    </w:p>
    <w:p>
      <w:pPr>
        <w:pStyle w:val="Normal"/>
        <w:numPr>
          <w:ilvl w:val="0"/>
          <w:numId w:val="5"/>
        </w:numPr>
        <w:jc w:val="both"/>
        <w:rPr/>
      </w:pPr>
      <w:r>
        <w:rPr/>
        <w:t>Group: Bandwidth</w:t>
      </w:r>
    </w:p>
    <w:p>
      <w:pPr>
        <w:pStyle w:val="Normal"/>
        <w:numPr>
          <w:ilvl w:val="0"/>
          <w:numId w:val="2"/>
        </w:numPr>
        <w:jc w:val="both"/>
        <w:rPr>
          <w:b/>
        </w:rPr>
      </w:pPr>
      <w:r>
        <w:rPr/>
        <w:t>Country: USA</w:t>
      </w:r>
    </w:p>
    <w:p>
      <w:pPr>
        <w:pStyle w:val="Normal"/>
        <w:numPr>
          <w:ilvl w:val="0"/>
          <w:numId w:val="2"/>
        </w:numPr>
        <w:jc w:val="both"/>
        <w:rPr>
          <w:b/>
        </w:rPr>
      </w:pPr>
      <w:r>
        <w:rPr/>
        <w:t>Deal Type: Forward</w:t>
      </w:r>
    </w:p>
    <w:p>
      <w:pPr>
        <w:pStyle w:val="Normal"/>
        <w:numPr>
          <w:ilvl w:val="0"/>
          <w:numId w:val="2"/>
        </w:numPr>
        <w:jc w:val="both"/>
        <w:rPr>
          <w:b/>
        </w:rPr>
      </w:pPr>
      <w:r>
        <w:rPr/>
        <w:t xml:space="preserve">Commodity: </w:t>
      </w:r>
    </w:p>
    <w:p>
      <w:pPr>
        <w:pStyle w:val="Normal"/>
        <w:numPr>
          <w:ilvl w:val="0"/>
          <w:numId w:val="7"/>
        </w:numPr>
        <w:tabs>
          <w:tab w:val="clear" w:pos="720"/>
          <w:tab w:val="left" w:pos="2520" w:leader="none"/>
        </w:tabs>
        <w:ind w:hanging="360" w:start="2520" w:end="0"/>
        <w:jc w:val="both"/>
        <w:rPr/>
      </w:pPr>
      <w:r>
        <w:rPr/>
        <w:t xml:space="preserve">Bandwidth DS3 </w:t>
      </w:r>
    </w:p>
    <w:p>
      <w:pPr>
        <w:pStyle w:val="Normal"/>
        <w:numPr>
          <w:ilvl w:val="0"/>
          <w:numId w:val="7"/>
        </w:numPr>
        <w:tabs>
          <w:tab w:val="clear" w:pos="720"/>
          <w:tab w:val="left" w:pos="2520" w:leader="none"/>
        </w:tabs>
        <w:ind w:hanging="360" w:start="2520" w:end="0"/>
        <w:jc w:val="both"/>
        <w:rPr/>
      </w:pPr>
      <w:r>
        <w:rPr/>
        <w:t xml:space="preserve">Bandwidth OC3 </w:t>
      </w:r>
    </w:p>
    <w:p>
      <w:pPr>
        <w:pStyle w:val="Normal"/>
        <w:numPr>
          <w:ilvl w:val="0"/>
          <w:numId w:val="7"/>
        </w:numPr>
        <w:tabs>
          <w:tab w:val="clear" w:pos="720"/>
          <w:tab w:val="left" w:pos="2520" w:leader="none"/>
        </w:tabs>
        <w:ind w:hanging="360" w:start="2520" w:end="0"/>
        <w:jc w:val="both"/>
        <w:rPr/>
      </w:pPr>
      <w:r>
        <w:rPr/>
        <w:t>Bandwidth OC3c</w:t>
      </w:r>
    </w:p>
    <w:p>
      <w:pPr>
        <w:pStyle w:val="Normal"/>
        <w:numPr>
          <w:ilvl w:val="0"/>
          <w:numId w:val="2"/>
        </w:numPr>
        <w:jc w:val="both"/>
        <w:rPr>
          <w:b/>
        </w:rPr>
      </w:pPr>
      <w:r>
        <w:rPr/>
        <w:t>Category: Physical</w:t>
      </w:r>
    </w:p>
    <w:p>
      <w:pPr>
        <w:pStyle w:val="Normal"/>
        <w:numPr>
          <w:ilvl w:val="0"/>
          <w:numId w:val="2"/>
        </w:numPr>
        <w:jc w:val="both"/>
        <w:rPr>
          <w:b/>
        </w:rPr>
      </w:pPr>
      <w:r>
        <w:rPr/>
        <w:t>Trading Book System: Spreadsheet</w:t>
      </w:r>
    </w:p>
    <w:p>
      <w:pPr>
        <w:pStyle w:val="Normal"/>
        <w:numPr>
          <w:ilvl w:val="0"/>
          <w:numId w:val="2"/>
        </w:numPr>
        <w:jc w:val="both"/>
        <w:rPr>
          <w:b/>
        </w:rPr>
      </w:pPr>
      <w:r>
        <w:rPr/>
        <w:t>Firmness: Firm</w:t>
      </w:r>
    </w:p>
    <w:p>
      <w:pPr>
        <w:pStyle w:val="Normal"/>
        <w:numPr>
          <w:ilvl w:val="0"/>
          <w:numId w:val="2"/>
        </w:numPr>
        <w:jc w:val="both"/>
        <w:rPr>
          <w:b/>
        </w:rPr>
      </w:pPr>
      <w:r>
        <w:rPr/>
        <w:t>Sigma: See Bandwidth Sigma Word Document</w:t>
      </w:r>
    </w:p>
    <w:p>
      <w:pPr>
        <w:pStyle w:val="Normal"/>
        <w:numPr>
          <w:ilvl w:val="0"/>
          <w:numId w:val="2"/>
        </w:numPr>
        <w:jc w:val="both"/>
        <w:rPr>
          <w:b/>
        </w:rPr>
      </w:pPr>
      <w:r>
        <w:rPr/>
        <w:t>Currencies: USD</w:t>
      </w:r>
    </w:p>
    <w:p>
      <w:pPr>
        <w:pStyle w:val="Normal"/>
        <w:numPr>
          <w:ilvl w:val="0"/>
          <w:numId w:val="2"/>
        </w:numPr>
        <w:jc w:val="both"/>
        <w:rPr>
          <w:b/>
        </w:rPr>
      </w:pPr>
      <w:r>
        <w:rPr/>
        <w:t>Trading Hours: 10:00 AM to 2:00 PM</w:t>
      </w:r>
    </w:p>
    <w:p>
      <w:pPr>
        <w:pStyle w:val="Normal"/>
        <w:numPr>
          <w:ilvl w:val="0"/>
          <w:numId w:val="2"/>
        </w:numPr>
        <w:jc w:val="both"/>
        <w:rPr>
          <w:b/>
        </w:rPr>
      </w:pPr>
      <w:r>
        <w:rPr/>
        <w:t>Decimal Places: 0.0000</w:t>
      </w:r>
    </w:p>
    <w:p>
      <w:pPr>
        <w:pStyle w:val="Normal"/>
        <w:jc w:val="both"/>
        <w:rPr>
          <w:b/>
        </w:rPr>
      </w:pPr>
      <w:r>
        <w:rPr>
          <w:b/>
        </w:rPr>
      </w:r>
    </w:p>
    <w:p>
      <w:pPr>
        <w:pStyle w:val="Normal"/>
        <w:jc w:val="both"/>
        <w:rPr>
          <w:b/>
        </w:rPr>
      </w:pPr>
      <w:r>
        <w:rPr>
          <w:b/>
        </w:rPr>
      </w:r>
    </w:p>
    <w:p>
      <w:pPr>
        <w:pStyle w:val="Heading3"/>
        <w:ind w:hanging="0" w:start="0"/>
        <w:rPr/>
      </w:pPr>
      <w:r>
        <w:rPr/>
        <w:t>Product Long Description (DS3)</w:t>
      </w:r>
    </w:p>
    <w:p>
      <w:pPr>
        <w:pStyle w:val="Normal"/>
        <w:jc w:val="both"/>
        <w:rPr>
          <w:b/>
          <w:u w:val="single"/>
        </w:rPr>
      </w:pPr>
      <w:r>
        <w:rPr>
          <w:b/>
          <w:u w:val="single"/>
        </w:rPr>
      </w:r>
    </w:p>
    <w:p>
      <w:pPr>
        <w:pStyle w:val="BodyText"/>
        <w:rPr/>
      </w:pPr>
      <w:r>
        <w:rPr/>
        <w:t xml:space="preserve">A US Bandwidth Transaction with Enron Broadband Services, L.P. (“EBS”) pursuant to which the Seller shall sell and the Buyer shall buy the quantity of Bandwidth Units submitted by Counterparty via the Website. The number of DSO’s per DS3 is 672. The price shall be as submitted by the Counterparty via the Website. Any party entering into a Transaction to buy or sell Bandwidth Units from or to EBS shall be responsible for connecting to the Demarcation Point located at each Market Pooling Point in order to take physical delivery of such Bandwidth.  In order to achieve such connectivity, a party may incur costs and expenses and may additionally be required to execute certain documentation. The quality of the Bandwidth Unit shall be the benchmark quality of service standard (“BQoS”) as defined in Annex A-1 of the General Terms and Conditions.  </w:t>
      </w:r>
    </w:p>
    <w:p>
      <w:pPr>
        <w:pStyle w:val="Normal"/>
        <w:jc w:val="both"/>
        <w:rPr/>
      </w:pPr>
      <w:r>
        <w:rPr/>
        <w:t>The term of the Transaction shall begin at 12:00 a.m. (EST) on the Effective Date and continue to 11:59:59 p.m. (EST) on the Termination Date.</w:t>
      </w:r>
      <w:r>
        <w:rPr>
          <w:color w:val="000000"/>
        </w:rPr>
        <w:t xml:space="preserve"> The Effective Date is &lt;Start Date&gt; and the Termination Date is &lt;Termination Date&gt;.</w:t>
      </w:r>
      <w:r>
        <w:rPr/>
        <w:t xml:space="preserve">  </w:t>
      </w:r>
    </w:p>
    <w:p>
      <w:pPr>
        <w:pStyle w:val="Normal"/>
        <w:jc w:val="both"/>
        <w:rPr/>
      </w:pPr>
      <w:r>
        <w:rPr/>
        <w:t>The Transaction shall be for Bandwidth between the New York Market Pooling Point (111 8</w:t>
      </w:r>
      <w:r>
        <w:rPr>
          <w:vertAlign w:val="superscript"/>
        </w:rPr>
        <w:t>th</w:t>
      </w:r>
      <w:r>
        <w:rPr/>
        <w:t xml:space="preserve"> Avenue, Suite 1517, New York, NY 10011, NPA-NXX: 212-462, CLLI: NYCMNY83H62) and the Los Angeles Market Pooling Point (530 W. 6</w:t>
      </w:r>
      <w:r>
        <w:rPr>
          <w:vertAlign w:val="superscript"/>
        </w:rPr>
        <w:t>th</w:t>
      </w:r>
      <w:r>
        <w:rPr/>
        <w:t xml:space="preserve"> Street, Suite 300, Los Angeles, CA 90014, NPA-NXX: 213-362, CLLI: LSAJCAWZH04), for a total of 2,446 DSO miles.</w:t>
      </w:r>
    </w:p>
    <w:p>
      <w:pPr>
        <w:pStyle w:val="Normal"/>
        <w:jc w:val="both"/>
        <w:rPr/>
      </w:pPr>
      <w:r>
        <w:rPr/>
        <w:t xml:space="preserve">The price is quoted in US Dollars (which will be the Contractual Currency). </w:t>
      </w:r>
    </w:p>
    <w:p>
      <w:pPr>
        <w:pStyle w:val="BodyText"/>
        <w:rPr/>
      </w:pPr>
      <w:r>
        <w:rPr/>
        <w:t>The unit of measure against which the price is quoted is DS0 miles and the quantity shown shall be in number of Bandwidth Units. Therefore, the Contract Price will be calculated as follows: price x the number of DS0’s per DS3 x the number of DS0 miles x the number of Bandwidth Units.</w:t>
      </w:r>
    </w:p>
    <w:p>
      <w:pPr>
        <w:pStyle w:val="BodyText"/>
        <w:rPr/>
      </w:pPr>
      <w:r>
        <w:rPr/>
      </w:r>
    </w:p>
    <w:p>
      <w:pPr>
        <w:pStyle w:val="Heading3"/>
        <w:ind w:hanging="0" w:start="0"/>
        <w:rPr/>
      </w:pPr>
      <w:r>
        <w:rPr/>
        <w:t xml:space="preserve">Product Long Description (OC3) </w:t>
      </w:r>
    </w:p>
    <w:p>
      <w:pPr>
        <w:pStyle w:val="Normal"/>
        <w:jc w:val="both"/>
        <w:rPr>
          <w:b/>
          <w:color w:val="0000FF"/>
          <w:u w:val="single"/>
        </w:rPr>
      </w:pPr>
      <w:r>
        <w:rPr>
          <w:b/>
          <w:color w:val="0000FF"/>
          <w:u w:val="single"/>
        </w:rPr>
      </w:r>
    </w:p>
    <w:p>
      <w:pPr>
        <w:pStyle w:val="BodyText"/>
        <w:rPr/>
      </w:pPr>
      <w:r>
        <w:rPr/>
        <w:t xml:space="preserve">A US Bandwidth Transaction with Enron Broadband Services, L.P. (“EBS”) pursuant to which the Seller shall sell and the Buyer shall buy the quantity of Bandwidth Units submitted by Counterparty via the Website. The number of DSO’s per OC3 is 2016. The price shall be as submitted by the Counterparty via the Website. Any party entering into a Transaction to buy or sell Bandwidth Units from or to EBS shall be responsible for connecting to the Demarcation Point located at each Market Pooling Point in order to take physical delivery of such Bandwidth.  In order to achieve such connectivity, a party may incur costs and expenses and may additionally be required to execute certain documentation. The quality of the Bandwidth Unit shall be the benchmark quality of service standard (“BQoS”) as defined in Annex A-2 of the General Terms and Conditions.  </w:t>
      </w:r>
    </w:p>
    <w:p>
      <w:pPr>
        <w:pStyle w:val="Normal"/>
        <w:jc w:val="both"/>
        <w:rPr/>
      </w:pPr>
      <w:r>
        <w:rPr/>
        <w:t>The term of the Transaction shall begin at 12:00 a.m. (EST) on the Effective Date and continue to 11:59:59 p.m. (EST) on the Termination Date.</w:t>
      </w:r>
      <w:r>
        <w:rPr>
          <w:color w:val="000000"/>
        </w:rPr>
        <w:t xml:space="preserve"> The Effective Date is &lt;Start Date&gt; and the Termination Date is &lt;Termination Date&gt;.</w:t>
      </w:r>
      <w:r>
        <w:rPr/>
        <w:t xml:space="preserve">  </w:t>
      </w:r>
    </w:p>
    <w:p>
      <w:pPr>
        <w:pStyle w:val="Normal"/>
        <w:jc w:val="both"/>
        <w:rPr/>
      </w:pPr>
      <w:r>
        <w:rPr/>
        <w:t>The Transaction shall be for Bandwidth between the New York Market Pooling Point (111 8</w:t>
      </w:r>
      <w:r>
        <w:rPr>
          <w:vertAlign w:val="superscript"/>
        </w:rPr>
        <w:t>th</w:t>
      </w:r>
      <w:r>
        <w:rPr/>
        <w:t xml:space="preserve"> Avenue, Suite 1517, New York, NY 10011, NPA-NXX: 212-462, CLLI: NYCMNY83H62) and the Los Angeles Market Pooling Point (530 W. 6</w:t>
      </w:r>
      <w:r>
        <w:rPr>
          <w:vertAlign w:val="superscript"/>
        </w:rPr>
        <w:t>th</w:t>
      </w:r>
      <w:r>
        <w:rPr/>
        <w:t xml:space="preserve"> Street, Suite 300, Los Angeles, CA 90014, NPA-NXX: 213-362, CLLI: LSAJCAWZH04), for a total of 2,446 DSO miles.</w:t>
      </w:r>
    </w:p>
    <w:p>
      <w:pPr>
        <w:pStyle w:val="Normal"/>
        <w:jc w:val="both"/>
        <w:rPr/>
      </w:pPr>
      <w:r>
        <w:rPr/>
        <w:t xml:space="preserve">The price is quoted in US Dollars (which will be the Contractual Currency). </w:t>
      </w:r>
    </w:p>
    <w:p>
      <w:pPr>
        <w:pStyle w:val="BodyText"/>
        <w:rPr/>
      </w:pPr>
      <w:r>
        <w:rPr/>
        <w:t>The unit of measure against which the price is quoted is DS0 miles and the quantity shown shall be in number of Bandwidth Units. Therefore, the Contract Price will be calculated as follows: price x the number of DS0’s per OC3 x the number of DS0 miles x the number of Bandwidth Units.</w:t>
      </w:r>
    </w:p>
    <w:p>
      <w:pPr>
        <w:pStyle w:val="Normal"/>
        <w:jc w:val="both"/>
        <w:rPr>
          <w:b/>
          <w:color w:val="0000FF"/>
          <w:u w:val="single"/>
        </w:rPr>
      </w:pPr>
      <w:r>
        <w:rPr>
          <w:b/>
          <w:color w:val="0000FF"/>
          <w:u w:val="single"/>
        </w:rPr>
      </w:r>
    </w:p>
    <w:p>
      <w:pPr>
        <w:pStyle w:val="Normal"/>
        <w:jc w:val="both"/>
        <w:rPr>
          <w:b/>
          <w:color w:val="0000FF"/>
          <w:u w:val="single"/>
        </w:rPr>
      </w:pPr>
      <w:r>
        <w:rPr>
          <w:b/>
          <w:color w:val="0000FF"/>
          <w:u w:val="single"/>
        </w:rPr>
      </w:r>
    </w:p>
    <w:p>
      <w:pPr>
        <w:pStyle w:val="Heading3"/>
        <w:ind w:hanging="0" w:start="0"/>
        <w:rPr/>
      </w:pPr>
      <w:r>
        <w:rPr/>
        <w:t xml:space="preserve">Product Long Description (OC3c) </w:t>
      </w:r>
    </w:p>
    <w:p>
      <w:pPr>
        <w:pStyle w:val="Normal"/>
        <w:jc w:val="both"/>
        <w:rPr>
          <w:b/>
          <w:color w:val="0000FF"/>
          <w:u w:val="single"/>
        </w:rPr>
      </w:pPr>
      <w:r>
        <w:rPr>
          <w:b/>
          <w:color w:val="0000FF"/>
          <w:u w:val="single"/>
        </w:rPr>
      </w:r>
    </w:p>
    <w:p>
      <w:pPr>
        <w:pStyle w:val="BodyText"/>
        <w:rPr/>
      </w:pPr>
      <w:r>
        <w:rPr/>
        <w:t xml:space="preserve">A US Bandwidth Transaction with Enron Broadband Services, L.P. (“EBS”) pursuant to which the Seller shall sell and the Buyer shall buy the quantity of Bandwidth Units submitted by Counterparty via the Website. The number of DSO’s per OC3c is 2016. The price shall be as submitted by the Counterparty via the Website. Any party entering into a Transaction to buy or sell Bandwidth Units from or to EBS shall be responsible for connecting to the Demarcation Point located at each Market Pooling Point in order to take physical delivery of such Bandwidth.  In order to achieve such connectivity, a party may incur costs and expenses and may additionally be required to execute certain documentation. The quality of the Bandwidth Unit shall be the benchmark quality of service standard (“BQoS”) as defined in Annex A-3 of the General Terms and Conditions.  </w:t>
      </w:r>
    </w:p>
    <w:p>
      <w:pPr>
        <w:pStyle w:val="Normal"/>
        <w:jc w:val="both"/>
        <w:rPr/>
      </w:pPr>
      <w:r>
        <w:rPr/>
        <w:t>The term of the Transaction shall begin at 12:00 a.m. (EST) on the Effective Date and continue to 11:59:59 p.m. (EST) on the Termination Date.</w:t>
      </w:r>
      <w:r>
        <w:rPr>
          <w:color w:val="000000"/>
        </w:rPr>
        <w:t xml:space="preserve"> The Effective Date is &lt;Start Date&gt; and the Termination Date is &lt;Termination Date&gt;.</w:t>
      </w:r>
      <w:r>
        <w:rPr/>
        <w:t xml:space="preserve">  </w:t>
      </w:r>
    </w:p>
    <w:p>
      <w:pPr>
        <w:pStyle w:val="Normal"/>
        <w:jc w:val="both"/>
        <w:rPr/>
      </w:pPr>
      <w:r>
        <w:rPr/>
        <w:t>The Transaction shall be for Bandwidth between the New York Market Pooling Point (111 8</w:t>
      </w:r>
      <w:r>
        <w:rPr>
          <w:vertAlign w:val="superscript"/>
        </w:rPr>
        <w:t>th</w:t>
      </w:r>
      <w:r>
        <w:rPr/>
        <w:t xml:space="preserve"> Avenue, Suite 1517, New York, NY 10011, NPA-NXX: 212-462, CLLI: NYCMNY83H62) and the Los Angeles Market Pooling Point (530 W. 6</w:t>
      </w:r>
      <w:r>
        <w:rPr>
          <w:vertAlign w:val="superscript"/>
        </w:rPr>
        <w:t>th</w:t>
      </w:r>
      <w:r>
        <w:rPr/>
        <w:t xml:space="preserve"> Street, Suite 300, Los Angeles, CA 90014, NPA-NXX: 213-362, CLLI: LSAJCAWZH04), for a total of 2,446 DSO miles.</w:t>
      </w:r>
    </w:p>
    <w:p>
      <w:pPr>
        <w:pStyle w:val="Normal"/>
        <w:jc w:val="both"/>
        <w:rPr/>
      </w:pPr>
      <w:r>
        <w:rPr/>
        <w:t xml:space="preserve">The price is quoted in US Dollars (which will be the Contractual Currency). </w:t>
      </w:r>
    </w:p>
    <w:p>
      <w:pPr>
        <w:pStyle w:val="BodyText"/>
        <w:rPr/>
      </w:pPr>
      <w:r>
        <w:rPr/>
        <w:t>The unit of measure against which the price is quoted is DS0 miles and the quantity shown shall be in number of Bandwidth Units. Therefore, the Contract Price will be calculated as follows: price x the number of DS0’s per OC3c x the number of DS0 miles x the number of Bandwidth Units.</w:t>
      </w:r>
    </w:p>
    <w:p>
      <w:pPr>
        <w:pStyle w:val="Normal"/>
        <w:jc w:val="both"/>
        <w:rPr>
          <w:b/>
          <w:color w:val="0000FF"/>
          <w:u w:val="single"/>
        </w:rPr>
      </w:pPr>
      <w:r>
        <w:rPr>
          <w:b/>
          <w:color w:val="0000FF"/>
          <w:u w:val="single"/>
        </w:rPr>
      </w:r>
    </w:p>
    <w:p>
      <w:pPr>
        <w:pStyle w:val="Normal"/>
        <w:jc w:val="both"/>
        <w:rPr>
          <w:b/>
          <w:color w:val="0000FF"/>
          <w:u w:val="single"/>
        </w:rPr>
      </w:pPr>
      <w:r>
        <w:rPr>
          <w:b/>
          <w:color w:val="0000FF"/>
          <w:u w:val="single"/>
        </w:rPr>
      </w:r>
    </w:p>
    <w:p>
      <w:pPr>
        <w:pStyle w:val="BodyText"/>
        <w:rPr>
          <w:b/>
          <w:color w:val="0000FF"/>
          <w:u w:val="single"/>
        </w:rPr>
      </w:pPr>
      <w:r>
        <w:rPr>
          <w:b/>
          <w:color w:val="0000FF"/>
          <w:u w:val="single"/>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u w:val="single"/>
    </w:rPr>
  </w:style>
  <w:style w:type="character" w:styleId="WW8Num1z0">
    <w:name w:val="WW8Num1z0"/>
    <w:qFormat/>
    <w:rPr>
      <w:rFonts w:ascii="Symbol" w:hAnsi="Symbol" w:cs="Symbol"/>
      <w:color w:val="auto"/>
    </w:rPr>
  </w:style>
  <w:style w:type="character" w:styleId="WW8Num3z0">
    <w:name w:val="WW8Num3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color w:val="auto"/>
    </w:rPr>
  </w:style>
  <w:style w:type="character" w:styleId="WW8Num11z0">
    <w:name w:val="WW8Num1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2000-04-27T15:36:00Z</dcterms:created>
  <dc:creator>lpacheco</dc:creator>
  <dc:description/>
  <dc:language>en-CA</dc:language>
  <cp:lastModifiedBy>lpacheco</cp:lastModifiedBy>
  <cp:lastPrinted>2000-04-27T08:22:00Z</cp:lastPrinted>
  <dcterms:modified xsi:type="dcterms:W3CDTF">2000-04-27T15:36:00Z</dcterms:modified>
  <cp:revision>2</cp:revision>
  <dc:subject/>
  <dc:title>BANDWIDTH PRODUCT DESCRIPTION</dc:title>
</cp:coreProperties>
</file>