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4410" w:leader="none"/>
        </w:tabs>
        <w:ind w:hanging="0" w:start="0"/>
        <w:rPr>
          <w:b/>
          <w:sz w:val="28"/>
          <w:u w:val="single"/>
        </w:rPr>
      </w:pPr>
      <w:r>
        <w:rPr>
          <w:b/>
          <w:sz w:val="28"/>
          <w:u w:val="single"/>
        </w:rPr>
      </w:r>
    </w:p>
    <w:p>
      <w:pPr>
        <w:pStyle w:val="Heading1"/>
        <w:tabs>
          <w:tab w:val="clear" w:pos="720"/>
          <w:tab w:val="left" w:pos="4410" w:leader="none"/>
        </w:tabs>
        <w:ind w:hanging="0" w:start="0"/>
        <w:rPr>
          <w:b/>
          <w:sz w:val="28"/>
          <w:u w:val="single"/>
        </w:rPr>
      </w:pPr>
      <w:r>
        <w:rPr>
          <w:b/>
          <w:sz w:val="28"/>
          <w:u w:val="single"/>
        </w:rPr>
      </w:r>
    </w:p>
    <w:p>
      <w:pPr>
        <w:pStyle w:val="Heading1"/>
        <w:tabs>
          <w:tab w:val="clear" w:pos="720"/>
          <w:tab w:val="left" w:pos="4410" w:leader="none"/>
        </w:tabs>
        <w:ind w:hanging="0" w:start="0"/>
        <w:rPr>
          <w:b/>
          <w:sz w:val="28"/>
          <w:u w:val="single"/>
        </w:rPr>
      </w:pPr>
      <w:r>
        <w:rPr>
          <w:b/>
          <w:sz w:val="28"/>
          <w:u w:val="single"/>
        </w:rPr>
        <w:t>Executive Market Summary</w:t>
      </w:r>
    </w:p>
    <w:p>
      <w:pPr>
        <w:pStyle w:val="Normal"/>
        <w:rPr>
          <w:b/>
          <w:sz w:val="28"/>
          <w:u w:val="single"/>
        </w:rPr>
      </w:pPr>
      <w:r>
        <w:rPr>
          <w:b/>
          <w:sz w:val="28"/>
          <w:u w:val="single"/>
        </w:rPr>
      </w:r>
    </w:p>
    <w:tbl>
      <w:tblPr>
        <w:tblW w:w="13968" w:type="dxa"/>
        <w:jc w:val="start"/>
        <w:tblInd w:w="0" w:type="dxa"/>
        <w:tblLayout w:type="fixed"/>
        <w:tblCellMar>
          <w:top w:w="0" w:type="dxa"/>
          <w:start w:w="108" w:type="dxa"/>
          <w:bottom w:w="0" w:type="dxa"/>
          <w:end w:w="108" w:type="dxa"/>
        </w:tblCellMar>
      </w:tblPr>
      <w:tblGrid>
        <w:gridCol w:w="1771"/>
        <w:gridCol w:w="3287"/>
        <w:gridCol w:w="270"/>
        <w:gridCol w:w="4950"/>
        <w:gridCol w:w="3690"/>
      </w:tblGrid>
      <w:tr>
        <w:trPr/>
        <w:tc>
          <w:tcPr>
            <w:tcW w:w="1771" w:type="dxa"/>
            <w:tcBorders/>
          </w:tcPr>
          <w:p>
            <w:pPr>
              <w:pStyle w:val="Heading2"/>
              <w:ind w:hanging="0" w:start="0"/>
              <w:rPr/>
            </w:pPr>
            <w:r>
              <w:rPr/>
              <w:t>State</w:t>
            </w:r>
          </w:p>
        </w:tc>
        <w:tc>
          <w:tcPr>
            <w:tcW w:w="3287" w:type="dxa"/>
            <w:tcBorders/>
          </w:tcPr>
          <w:p>
            <w:pPr>
              <w:pStyle w:val="Normal"/>
              <w:ind w:end="-558"/>
              <w:rPr/>
            </w:pPr>
            <w:r>
              <w:rPr/>
              <w:t>Maryland</w:t>
            </w:r>
          </w:p>
        </w:tc>
        <w:tc>
          <w:tcPr>
            <w:tcW w:w="270" w:type="dxa"/>
            <w:tcBorders/>
          </w:tcPr>
          <w:p>
            <w:pPr>
              <w:pStyle w:val="Normal"/>
              <w:snapToGrid w:val="false"/>
              <w:ind w:end="-558"/>
              <w:rPr/>
            </w:pPr>
            <w:r>
              <w:rPr/>
            </w:r>
          </w:p>
        </w:tc>
        <w:tc>
          <w:tcPr>
            <w:tcW w:w="4950" w:type="dxa"/>
            <w:tcBorders/>
          </w:tcPr>
          <w:p>
            <w:pPr>
              <w:pStyle w:val="Heading2"/>
              <w:ind w:hanging="0" w:start="0"/>
              <w:rPr/>
            </w:pPr>
            <w:r>
              <w:rPr/>
              <w:t>Information Sources</w:t>
            </w:r>
          </w:p>
        </w:tc>
        <w:tc>
          <w:tcPr>
            <w:tcW w:w="3690" w:type="dxa"/>
            <w:tcBorders/>
          </w:tcPr>
          <w:p>
            <w:pPr>
              <w:pStyle w:val="Normal"/>
              <w:snapToGrid w:val="false"/>
              <w:rPr/>
            </w:pPr>
            <w:r>
              <w:rPr/>
            </w:r>
          </w:p>
        </w:tc>
      </w:tr>
      <w:tr>
        <w:trPr/>
        <w:tc>
          <w:tcPr>
            <w:tcW w:w="1771" w:type="dxa"/>
            <w:tcBorders/>
          </w:tcPr>
          <w:p>
            <w:pPr>
              <w:pStyle w:val="Heading2"/>
              <w:ind w:hanging="0" w:start="0"/>
              <w:rPr/>
            </w:pPr>
            <w:r>
              <w:rPr/>
              <w:t>Utility</w:t>
            </w:r>
          </w:p>
        </w:tc>
        <w:tc>
          <w:tcPr>
            <w:tcW w:w="3287" w:type="dxa"/>
            <w:tcBorders/>
          </w:tcPr>
          <w:p>
            <w:pPr>
              <w:pStyle w:val="Normal"/>
              <w:ind w:end="-558"/>
              <w:rPr/>
            </w:pPr>
            <w:r>
              <w:rPr/>
              <w:t>Baltimore Gas &amp; Electric - BGE</w:t>
            </w:r>
          </w:p>
        </w:tc>
        <w:tc>
          <w:tcPr>
            <w:tcW w:w="270" w:type="dxa"/>
            <w:tcBorders/>
          </w:tcPr>
          <w:p>
            <w:pPr>
              <w:pStyle w:val="Normal"/>
              <w:snapToGrid w:val="false"/>
              <w:ind w:end="-558"/>
              <w:rPr/>
            </w:pPr>
            <w:r>
              <w:rPr/>
            </w:r>
          </w:p>
        </w:tc>
        <w:tc>
          <w:tcPr>
            <w:tcW w:w="4950" w:type="dxa"/>
            <w:tcBorders/>
          </w:tcPr>
          <w:p>
            <w:pPr>
              <w:pStyle w:val="Normal"/>
              <w:rPr/>
            </w:pPr>
            <w:hyperlink r:id="rId2">
              <w:r>
                <w:rPr>
                  <w:rStyle w:val="Hyperlink"/>
                </w:rPr>
                <w:t>http://supplier.bge.com/main/</w:t>
              </w:r>
            </w:hyperlink>
          </w:p>
          <w:p>
            <w:pPr>
              <w:pStyle w:val="Normal"/>
              <w:rPr/>
            </w:pPr>
            <w:hyperlink r:id="rId3">
              <w:r>
                <w:rPr>
                  <w:rStyle w:val="Hyperlink"/>
                </w:rPr>
                <w:t>http://www.pjm.com/</w:t>
              </w:r>
            </w:hyperlink>
          </w:p>
          <w:p>
            <w:pPr>
              <w:pStyle w:val="Normal"/>
              <w:rPr/>
            </w:pPr>
            <w:hyperlink r:id="rId4">
              <w:r>
                <w:rPr>
                  <w:rStyle w:val="Hyperlink"/>
                </w:rPr>
                <w:t>http://www.psc.state.md.us/psc/</w:t>
              </w:r>
            </w:hyperlink>
          </w:p>
          <w:p>
            <w:pPr>
              <w:pStyle w:val="Normal"/>
              <w:rPr/>
            </w:pPr>
            <w:r>
              <w:rPr/>
              <w:t>BGE Supplier Account Management-SAM</w:t>
            </w:r>
          </w:p>
        </w:tc>
        <w:tc>
          <w:tcPr>
            <w:tcW w:w="3690" w:type="dxa"/>
            <w:tcBorders/>
          </w:tcPr>
          <w:p>
            <w:pPr>
              <w:pStyle w:val="Normal"/>
              <w:snapToGrid w:val="false"/>
              <w:rPr>
                <w:color w:val="0000FF"/>
              </w:rPr>
            </w:pPr>
            <w:r>
              <w:rPr>
                <w:color w:val="0000FF"/>
              </w:rPr>
            </w:r>
          </w:p>
        </w:tc>
      </w:tr>
      <w:tr>
        <w:trPr/>
        <w:tc>
          <w:tcPr>
            <w:tcW w:w="1771" w:type="dxa"/>
            <w:tcBorders/>
          </w:tcPr>
          <w:p>
            <w:pPr>
              <w:pStyle w:val="Normal"/>
              <w:rPr>
                <w:b/>
              </w:rPr>
            </w:pPr>
            <w:r>
              <w:rPr>
                <w:b/>
              </w:rPr>
              <w:t>Commodity</w:t>
            </w:r>
          </w:p>
        </w:tc>
        <w:tc>
          <w:tcPr>
            <w:tcW w:w="3287" w:type="dxa"/>
            <w:tcBorders/>
          </w:tcPr>
          <w:p>
            <w:pPr>
              <w:pStyle w:val="Normal"/>
              <w:ind w:end="-558"/>
              <w:rPr/>
            </w:pPr>
            <w:r>
              <w:rPr/>
              <w:t>Electricity</w:t>
            </w:r>
          </w:p>
        </w:tc>
        <w:tc>
          <w:tcPr>
            <w:tcW w:w="270" w:type="dxa"/>
            <w:tcBorders/>
          </w:tcPr>
          <w:p>
            <w:pPr>
              <w:pStyle w:val="Normal"/>
              <w:snapToGrid w:val="false"/>
              <w:ind w:end="-558"/>
              <w:rPr/>
            </w:pPr>
            <w:r>
              <w:rPr/>
            </w:r>
          </w:p>
        </w:tc>
        <w:tc>
          <w:tcPr>
            <w:tcW w:w="4950" w:type="dxa"/>
            <w:tcBorders/>
          </w:tcPr>
          <w:p>
            <w:pPr>
              <w:pStyle w:val="Heading1"/>
              <w:ind w:hanging="0" w:start="0"/>
              <w:rPr/>
            </w:pPr>
            <w:r>
              <w:rPr/>
              <w:t>39 W. Lexington Street, Room 900</w:t>
            </w:r>
          </w:p>
        </w:tc>
        <w:tc>
          <w:tcPr>
            <w:tcW w:w="3690" w:type="dxa"/>
            <w:tcBorders/>
          </w:tcPr>
          <w:p>
            <w:pPr>
              <w:pStyle w:val="Normal"/>
              <w:snapToGrid w:val="false"/>
              <w:rPr/>
            </w:pPr>
            <w:r>
              <w:rPr/>
            </w:r>
          </w:p>
        </w:tc>
      </w:tr>
      <w:tr>
        <w:trPr/>
        <w:tc>
          <w:tcPr>
            <w:tcW w:w="1771" w:type="dxa"/>
            <w:tcBorders/>
          </w:tcPr>
          <w:p>
            <w:pPr>
              <w:pStyle w:val="Normal"/>
              <w:rPr/>
            </w:pPr>
            <w:r>
              <w:rPr>
                <w:b/>
              </w:rPr>
              <w:t>State License</w:t>
            </w:r>
            <w:r>
              <w:rPr/>
              <w:t xml:space="preserve"> </w:t>
              <w:tab/>
            </w:r>
          </w:p>
        </w:tc>
        <w:tc>
          <w:tcPr>
            <w:tcW w:w="3287" w:type="dxa"/>
            <w:tcBorders/>
          </w:tcPr>
          <w:p>
            <w:pPr>
              <w:pStyle w:val="Normal"/>
              <w:ind w:end="-558"/>
              <w:rPr/>
            </w:pPr>
            <w:r>
              <w:rPr/>
              <w:t>Yes</w:t>
            </w:r>
          </w:p>
          <w:p>
            <w:pPr>
              <w:pStyle w:val="Normal"/>
              <w:ind w:end="-558"/>
              <w:rPr/>
            </w:pPr>
            <w:r>
              <w:rPr/>
              <w:t xml:space="preserve"> </w:t>
            </w:r>
            <w:r>
              <w:rPr/>
              <w:t>Docket IR 233</w:t>
            </w:r>
          </w:p>
          <w:p>
            <w:pPr>
              <w:pStyle w:val="Normal"/>
              <w:ind w:end="-558"/>
              <w:rPr/>
            </w:pPr>
            <w:r>
              <w:rPr/>
              <w:t>Approved 5/10/00</w:t>
            </w:r>
          </w:p>
          <w:p>
            <w:pPr>
              <w:pStyle w:val="Normal"/>
              <w:ind w:end="-558"/>
              <w:rPr/>
            </w:pPr>
            <w:r>
              <w:rPr/>
            </w:r>
          </w:p>
        </w:tc>
        <w:tc>
          <w:tcPr>
            <w:tcW w:w="270" w:type="dxa"/>
            <w:tcBorders/>
          </w:tcPr>
          <w:p>
            <w:pPr>
              <w:pStyle w:val="Normal"/>
              <w:snapToGrid w:val="false"/>
              <w:ind w:end="-558"/>
              <w:rPr/>
            </w:pPr>
            <w:r>
              <w:rPr/>
            </w:r>
          </w:p>
        </w:tc>
        <w:tc>
          <w:tcPr>
            <w:tcW w:w="4950" w:type="dxa"/>
            <w:tcBorders/>
          </w:tcPr>
          <w:p>
            <w:pPr>
              <w:pStyle w:val="Normal"/>
              <w:rPr/>
            </w:pPr>
            <w:r>
              <w:rPr/>
              <w:t>Baltimore, MD 21201</w:t>
            </w:r>
          </w:p>
          <w:p>
            <w:pPr>
              <w:pStyle w:val="Normal"/>
              <w:rPr/>
            </w:pPr>
            <w:r>
              <w:rPr/>
              <w:t>Phone:  410-234-6900</w:t>
            </w:r>
          </w:p>
          <w:p>
            <w:pPr>
              <w:pStyle w:val="Normal"/>
              <w:rPr/>
            </w:pPr>
            <w:r>
              <w:rPr/>
              <w:t>Fax:  410-234-7100</w:t>
            </w:r>
          </w:p>
          <w:p>
            <w:pPr>
              <w:pStyle w:val="Normal"/>
              <w:rPr>
                <w:color w:val="0000FF"/>
              </w:rPr>
            </w:pPr>
            <w:r>
              <w:rPr/>
              <w:t>Email</w:t>
            </w:r>
            <w:r>
              <w:rPr>
                <w:color w:val="0000FF"/>
              </w:rPr>
              <w:t xml:space="preserve">:  </w:t>
            </w:r>
            <w:hyperlink r:id="rId5">
              <w:r>
                <w:rPr>
                  <w:rStyle w:val="Hyperlink"/>
                </w:rPr>
                <w:t>Electric.Supplier.Relations@BGE.com</w:t>
              </w:r>
            </w:hyperlink>
          </w:p>
          <w:p>
            <w:pPr>
              <w:pStyle w:val="Normal"/>
              <w:rPr>
                <w:color w:val="0000FF"/>
              </w:rPr>
            </w:pPr>
            <w:r>
              <w:rPr>
                <w:color w:val="0000FF"/>
              </w:rPr>
            </w:r>
          </w:p>
        </w:tc>
        <w:tc>
          <w:tcPr>
            <w:tcW w:w="3690" w:type="dxa"/>
            <w:tcBorders/>
          </w:tcPr>
          <w:p>
            <w:pPr>
              <w:pStyle w:val="Normal"/>
              <w:snapToGrid w:val="false"/>
              <w:rPr>
                <w:color w:val="0000FF"/>
              </w:rPr>
            </w:pPr>
            <w:r>
              <w:rPr>
                <w:color w:val="0000FF"/>
              </w:rPr>
            </w:r>
          </w:p>
        </w:tc>
      </w:tr>
    </w:tbl>
    <w:p>
      <w:pPr>
        <w:pStyle w:val="Normal"/>
        <w:rPr/>
      </w:pPr>
      <w:r>
        <w:rPr/>
      </w:r>
    </w:p>
    <w:p>
      <w:pPr>
        <w:pStyle w:val="Heading2"/>
        <w:ind w:hanging="0" w:start="0"/>
        <w:jc w:val="both"/>
        <w:rPr>
          <w:u w:val="single"/>
        </w:rPr>
      </w:pPr>
      <w:r>
        <w:rPr>
          <w:u w:val="single"/>
        </w:rPr>
        <w:t xml:space="preserve">MARKET SPECIFICS   </w:t>
      </w:r>
    </w:p>
    <w:p>
      <w:pPr>
        <w:pStyle w:val="BodyText3"/>
        <w:rPr>
          <w:sz w:val="22"/>
        </w:rPr>
      </w:pPr>
      <w:r>
        <w:rPr>
          <w:sz w:val="22"/>
        </w:rPr>
        <w:t>Based on a Proposed Settlement Agreement, effective July 1, 2000, Baltimore Gas &amp; Electric Company began participating in the implementation of Electric Customer Choice in Maryland.  Baltimore Gas &amp; Electric Company is a subsidiary of Constellation Energy Group and today their distribution service territory encompasses more than one million businesses and residential customers in a 2,300 square mile area including Baltimore City and all or part of ten Central Maryland Counties.</w:t>
      </w:r>
    </w:p>
    <w:p>
      <w:pPr>
        <w:pStyle w:val="Normal"/>
        <w:jc w:val="both"/>
        <w:rPr>
          <w:sz w:val="22"/>
        </w:rPr>
      </w:pPr>
      <w:r>
        <w:rPr>
          <w:sz w:val="22"/>
        </w:rPr>
      </w:r>
    </w:p>
    <w:p>
      <w:pPr>
        <w:pStyle w:val="Heading3"/>
        <w:ind w:hanging="0" w:start="0"/>
        <w:rPr/>
      </w:pPr>
      <w:r>
        <w:rPr/>
        <w:t xml:space="preserve">DEFINITIONS/ACRONYMNS  </w:t>
      </w:r>
    </w:p>
    <w:p>
      <w:pPr>
        <w:pStyle w:val="BodyText"/>
        <w:ind w:end="0"/>
        <w:jc w:val="both"/>
        <w:rPr/>
      </w:pPr>
      <w:r>
        <w:rPr>
          <w:b/>
          <w:sz w:val="22"/>
        </w:rPr>
        <w:t>Active Load Management or ALM</w:t>
      </w:r>
      <w:r>
        <w:rPr>
          <w:sz w:val="22"/>
        </w:rPr>
        <w:t xml:space="preserve"> – the process for arranging to have firm load become interruptible in accordance with criteria established by the PJM Office of Interconnection.</w:t>
      </w:r>
    </w:p>
    <w:p>
      <w:pPr>
        <w:pStyle w:val="BodyText"/>
        <w:ind w:end="0"/>
        <w:jc w:val="both"/>
        <w:rPr>
          <w:sz w:val="22"/>
        </w:rPr>
      </w:pPr>
      <w:r>
        <w:rPr>
          <w:sz w:val="22"/>
        </w:rPr>
      </w:r>
    </w:p>
    <w:p>
      <w:pPr>
        <w:pStyle w:val="BodyText"/>
        <w:ind w:end="0"/>
        <w:jc w:val="both"/>
        <w:rPr/>
      </w:pPr>
      <w:r>
        <w:rPr>
          <w:b/>
          <w:sz w:val="22"/>
        </w:rPr>
        <w:t>Appropriate Similar Day</w:t>
      </w:r>
      <w:r>
        <w:rPr>
          <w:sz w:val="22"/>
        </w:rPr>
        <w:t xml:space="preserve"> – hourly forecasted load based on a comparable weekday, month and season.</w:t>
      </w:r>
    </w:p>
    <w:p>
      <w:pPr>
        <w:pStyle w:val="BodyText"/>
        <w:ind w:end="0"/>
        <w:jc w:val="both"/>
        <w:rPr>
          <w:sz w:val="22"/>
        </w:rPr>
      </w:pPr>
      <w:r>
        <w:rPr>
          <w:sz w:val="22"/>
        </w:rPr>
      </w:r>
    </w:p>
    <w:p>
      <w:pPr>
        <w:pStyle w:val="BodyText"/>
        <w:ind w:end="0"/>
        <w:jc w:val="both"/>
        <w:rPr>
          <w:b/>
          <w:sz w:val="22"/>
        </w:rPr>
      </w:pPr>
      <w:r>
        <w:rPr>
          <w:b/>
          <w:sz w:val="22"/>
        </w:rPr>
        <w:t>Bankruptcy</w:t>
      </w:r>
      <w:r>
        <w:rPr>
          <w:sz w:val="22"/>
        </w:rPr>
        <w:t xml:space="preserve"> – includes, but is not limited to, the appointment of a receiver, liquidator or trustee of the Electricity Supplier, or a decree by a court adjudging the Electricity Supplier bankrupt or insolvent or sequestering any substantial part of its property, or a petition to declare bankruptcy or to reorganize the Electricity Supplier.</w:t>
      </w:r>
    </w:p>
    <w:p>
      <w:pPr>
        <w:pStyle w:val="BodyText"/>
        <w:ind w:end="0"/>
        <w:jc w:val="both"/>
        <w:rPr>
          <w:b/>
          <w:sz w:val="22"/>
        </w:rPr>
      </w:pPr>
      <w:r>
        <w:rPr>
          <w:b/>
          <w:sz w:val="22"/>
        </w:rPr>
      </w:r>
    </w:p>
    <w:p>
      <w:pPr>
        <w:pStyle w:val="BodyText"/>
        <w:ind w:end="0"/>
        <w:jc w:val="both"/>
        <w:rPr/>
      </w:pPr>
      <w:r>
        <w:rPr>
          <w:b/>
          <w:sz w:val="22"/>
        </w:rPr>
        <w:t>Business Day</w:t>
      </w:r>
      <w:r>
        <w:rPr>
          <w:sz w:val="22"/>
        </w:rPr>
        <w:t xml:space="preserve"> – any day on which the BGE’s and PJM’s Corporate offices are open for business.</w:t>
      </w:r>
    </w:p>
    <w:p>
      <w:pPr>
        <w:pStyle w:val="BodyText"/>
        <w:ind w:end="0"/>
        <w:jc w:val="both"/>
        <w:rPr>
          <w:sz w:val="22"/>
        </w:rPr>
      </w:pPr>
      <w:r>
        <w:rPr>
          <w:sz w:val="22"/>
        </w:rPr>
      </w:r>
    </w:p>
    <w:p>
      <w:pPr>
        <w:pStyle w:val="BodyText"/>
        <w:ind w:end="0"/>
        <w:jc w:val="both"/>
        <w:rPr/>
      </w:pPr>
      <w:r>
        <w:rPr>
          <w:b/>
          <w:sz w:val="22"/>
        </w:rPr>
        <w:t>Charge</w:t>
      </w:r>
      <w:r>
        <w:rPr>
          <w:sz w:val="22"/>
        </w:rPr>
        <w:t xml:space="preserve"> – any fee that is billable by BGE to the Electricity Supplier under the BGE Tariff, including any fee(s) for Coordination Services.</w:t>
      </w:r>
    </w:p>
    <w:p>
      <w:pPr>
        <w:pStyle w:val="BodyText"/>
        <w:ind w:end="0"/>
        <w:jc w:val="both"/>
        <w:rPr>
          <w:sz w:val="22"/>
        </w:rPr>
      </w:pPr>
      <w:r>
        <w:rPr>
          <w:sz w:val="22"/>
        </w:rPr>
      </w:r>
    </w:p>
    <w:p>
      <w:pPr>
        <w:pStyle w:val="BodyText"/>
        <w:ind w:end="0"/>
        <w:jc w:val="both"/>
        <w:rPr/>
      </w:pPr>
      <w:r>
        <w:rPr>
          <w:b/>
          <w:sz w:val="22"/>
        </w:rPr>
        <w:t>COMAR</w:t>
      </w:r>
      <w:r>
        <w:rPr>
          <w:sz w:val="22"/>
        </w:rPr>
        <w:t xml:space="preserve"> – the Code of Maryland Regulations of which Title 20 comprises the regulations of the Commission.</w:t>
      </w:r>
    </w:p>
    <w:p>
      <w:pPr>
        <w:pStyle w:val="BodyText"/>
        <w:ind w:end="0"/>
        <w:jc w:val="both"/>
        <w:rPr>
          <w:sz w:val="22"/>
        </w:rPr>
      </w:pPr>
      <w:r>
        <w:rPr>
          <w:sz w:val="22"/>
        </w:rPr>
      </w:r>
    </w:p>
    <w:p>
      <w:pPr>
        <w:pStyle w:val="BodyText"/>
        <w:ind w:end="0"/>
        <w:jc w:val="both"/>
        <w:rPr/>
      </w:pPr>
      <w:r>
        <w:rPr>
          <w:b/>
          <w:sz w:val="22"/>
        </w:rPr>
        <w:t xml:space="preserve">Commission </w:t>
      </w:r>
      <w:r>
        <w:rPr>
          <w:sz w:val="22"/>
        </w:rPr>
        <w:t>– the Public Service Commission of Maryland or PSC.</w:t>
      </w:r>
    </w:p>
    <w:p>
      <w:pPr>
        <w:pStyle w:val="BodyText"/>
        <w:ind w:end="0"/>
        <w:jc w:val="both"/>
        <w:rPr>
          <w:b/>
          <w:sz w:val="22"/>
        </w:rPr>
      </w:pPr>
      <w:r>
        <w:rPr>
          <w:b/>
          <w:sz w:val="22"/>
        </w:rPr>
      </w:r>
    </w:p>
    <w:p>
      <w:pPr>
        <w:pStyle w:val="BodyText"/>
        <w:ind w:end="0"/>
        <w:jc w:val="both"/>
        <w:rPr/>
      </w:pPr>
      <w:r>
        <w:rPr>
          <w:b/>
          <w:sz w:val="22"/>
        </w:rPr>
        <w:t xml:space="preserve">Company </w:t>
      </w:r>
      <w:r>
        <w:rPr>
          <w:sz w:val="22"/>
        </w:rPr>
        <w:t>–</w:t>
      </w:r>
      <w:r>
        <w:rPr>
          <w:b/>
          <w:sz w:val="22"/>
        </w:rPr>
        <w:t xml:space="preserve"> </w:t>
      </w:r>
      <w:r>
        <w:rPr>
          <w:sz w:val="22"/>
        </w:rPr>
        <w:t>also known as Electric Company or BGE.</w:t>
      </w:r>
    </w:p>
    <w:p>
      <w:pPr>
        <w:pStyle w:val="BodyText"/>
        <w:ind w:end="0"/>
        <w:jc w:val="both"/>
        <w:rPr>
          <w:sz w:val="22"/>
        </w:rPr>
      </w:pPr>
      <w:r>
        <w:rPr>
          <w:sz w:val="22"/>
        </w:rPr>
      </w:r>
    </w:p>
    <w:p>
      <w:pPr>
        <w:pStyle w:val="BodyText"/>
        <w:ind w:end="0"/>
        <w:jc w:val="both"/>
        <w:rPr/>
      </w:pPr>
      <w:r>
        <w:rPr>
          <w:b/>
          <w:sz w:val="22"/>
        </w:rPr>
        <w:t>Company’s System</w:t>
      </w:r>
      <w:r>
        <w:rPr>
          <w:sz w:val="22"/>
        </w:rPr>
        <w:t xml:space="preserve"> – the transmission, subtransmission and distribution facilities owned, operated and maintained by BGE or its agent.</w:t>
      </w:r>
    </w:p>
    <w:p>
      <w:pPr>
        <w:pStyle w:val="BodyText"/>
        <w:ind w:end="0"/>
        <w:jc w:val="both"/>
        <w:rPr>
          <w:sz w:val="22"/>
        </w:rPr>
      </w:pPr>
      <w:r>
        <w:rPr>
          <w:sz w:val="22"/>
        </w:rPr>
      </w:r>
    </w:p>
    <w:p>
      <w:pPr>
        <w:pStyle w:val="BodyText"/>
        <w:ind w:end="0"/>
        <w:jc w:val="both"/>
        <w:rPr>
          <w:b/>
          <w:sz w:val="22"/>
        </w:rPr>
      </w:pPr>
      <w:r>
        <w:rPr>
          <w:b/>
          <w:sz w:val="22"/>
        </w:rPr>
      </w:r>
    </w:p>
    <w:p>
      <w:pPr>
        <w:pStyle w:val="BodyText"/>
        <w:ind w:end="0"/>
        <w:jc w:val="both"/>
        <w:rPr>
          <w:b/>
          <w:sz w:val="22"/>
        </w:rPr>
      </w:pPr>
      <w:r>
        <w:rPr>
          <w:b/>
          <w:sz w:val="22"/>
        </w:rPr>
      </w:r>
    </w:p>
    <w:p>
      <w:pPr>
        <w:pStyle w:val="BodyText"/>
        <w:ind w:end="0"/>
        <w:jc w:val="both"/>
        <w:rPr>
          <w:b/>
          <w:sz w:val="22"/>
        </w:rPr>
      </w:pPr>
      <w:r>
        <w:rPr>
          <w:b/>
          <w:sz w:val="22"/>
        </w:rPr>
      </w:r>
    </w:p>
    <w:p>
      <w:pPr>
        <w:pStyle w:val="BodyText"/>
        <w:ind w:end="0"/>
        <w:jc w:val="both"/>
        <w:rPr>
          <w:b/>
          <w:sz w:val="22"/>
        </w:rPr>
      </w:pPr>
      <w:r>
        <w:rPr>
          <w:b/>
          <w:sz w:val="22"/>
        </w:rPr>
      </w:r>
    </w:p>
    <w:p>
      <w:pPr>
        <w:pStyle w:val="BodyText"/>
        <w:ind w:end="0"/>
        <w:jc w:val="both"/>
        <w:rPr/>
      </w:pPr>
      <w:r>
        <w:rPr>
          <w:b/>
          <w:sz w:val="22"/>
        </w:rPr>
        <w:t>Competitive Power Supply</w:t>
      </w:r>
      <w:r>
        <w:rPr>
          <w:sz w:val="22"/>
        </w:rPr>
        <w:t xml:space="preserve"> – unbundled energy, capacity, transmission, and required ancillary services provided by an Electricity Supplier to Customers; except that Competitive Power Supply does not include energy, capacity, transmission, or ancillary services provided to Customers by BGE in the provision of Standard Offer Service.</w:t>
      </w:r>
    </w:p>
    <w:p>
      <w:pPr>
        <w:pStyle w:val="BodyText"/>
        <w:ind w:end="0"/>
        <w:jc w:val="both"/>
        <w:rPr>
          <w:sz w:val="22"/>
        </w:rPr>
      </w:pPr>
      <w:r>
        <w:rPr>
          <w:sz w:val="22"/>
        </w:rPr>
      </w:r>
    </w:p>
    <w:p>
      <w:pPr>
        <w:pStyle w:val="BodyText"/>
        <w:ind w:end="0"/>
        <w:jc w:val="both"/>
        <w:rPr/>
      </w:pPr>
      <w:r>
        <w:rPr>
          <w:b/>
          <w:sz w:val="22"/>
        </w:rPr>
        <w:t>Control Area Operator</w:t>
      </w:r>
      <w:r>
        <w:rPr>
          <w:sz w:val="22"/>
        </w:rPr>
        <w:t xml:space="preserve"> – PJM Interconnection, L.L.C. or successor organization.</w:t>
      </w:r>
    </w:p>
    <w:p>
      <w:pPr>
        <w:pStyle w:val="BodyText"/>
        <w:ind w:end="0"/>
        <w:jc w:val="both"/>
        <w:rPr>
          <w:sz w:val="22"/>
        </w:rPr>
      </w:pPr>
      <w:r>
        <w:rPr>
          <w:sz w:val="22"/>
        </w:rPr>
      </w:r>
    </w:p>
    <w:p>
      <w:pPr>
        <w:pStyle w:val="BodyText"/>
        <w:ind w:end="0"/>
        <w:jc w:val="both"/>
        <w:rPr/>
      </w:pPr>
      <w:r>
        <w:rPr>
          <w:b/>
          <w:sz w:val="22"/>
        </w:rPr>
        <w:t>Coordinated Electricity Supplier</w:t>
      </w:r>
      <w:r>
        <w:rPr>
          <w:sz w:val="22"/>
        </w:rPr>
        <w:t xml:space="preserve"> – an Electricity Supplier that has appointed a Scheduling Coordinator as its designated agent for the purpose of submitting energy schedules to the PJM Office of Interconnection.</w:t>
      </w:r>
    </w:p>
    <w:p>
      <w:pPr>
        <w:pStyle w:val="BodyText"/>
        <w:ind w:end="0"/>
        <w:jc w:val="both"/>
        <w:rPr>
          <w:sz w:val="22"/>
        </w:rPr>
      </w:pPr>
      <w:r>
        <w:rPr>
          <w:sz w:val="22"/>
        </w:rPr>
      </w:r>
    </w:p>
    <w:p>
      <w:pPr>
        <w:pStyle w:val="BodyText"/>
        <w:ind w:end="0"/>
        <w:jc w:val="both"/>
        <w:rPr/>
      </w:pPr>
      <w:r>
        <w:rPr>
          <w:b/>
          <w:sz w:val="22"/>
        </w:rPr>
        <w:t>Coordination Services</w:t>
      </w:r>
      <w:r>
        <w:rPr>
          <w:sz w:val="22"/>
        </w:rPr>
        <w:t xml:space="preserve"> – those services that permit the type of interface and coordination between Electricity Suppliers and BGE in connection with the delivery of Competitive Power Supply to serve Customers located within BGE’s Service Territory, including certain scheduling-related functions and reconciliation.</w:t>
      </w:r>
    </w:p>
    <w:p>
      <w:pPr>
        <w:pStyle w:val="BodyText"/>
        <w:ind w:end="0"/>
        <w:jc w:val="both"/>
        <w:rPr>
          <w:sz w:val="22"/>
        </w:rPr>
      </w:pPr>
      <w:r>
        <w:rPr>
          <w:sz w:val="22"/>
        </w:rPr>
      </w:r>
    </w:p>
    <w:p>
      <w:pPr>
        <w:pStyle w:val="BodyText"/>
        <w:ind w:end="0"/>
        <w:jc w:val="both"/>
        <w:rPr/>
      </w:pPr>
      <w:r>
        <w:rPr>
          <w:b/>
          <w:sz w:val="22"/>
        </w:rPr>
        <w:t>Credit Amount</w:t>
      </w:r>
      <w:r>
        <w:rPr>
          <w:sz w:val="22"/>
        </w:rPr>
        <w:t xml:space="preserve"> – an amount equal to two months of projected Customer payments to the Electricity Supplier for Company services if the Electricity Supplier provides consolidated billing and Electricity Supplier payments to BGE.</w:t>
      </w:r>
    </w:p>
    <w:p>
      <w:pPr>
        <w:pStyle w:val="BodyText"/>
        <w:ind w:end="0"/>
        <w:jc w:val="both"/>
        <w:rPr>
          <w:sz w:val="22"/>
        </w:rPr>
      </w:pPr>
      <w:r>
        <w:rPr>
          <w:sz w:val="22"/>
        </w:rPr>
      </w:r>
    </w:p>
    <w:p>
      <w:pPr>
        <w:pStyle w:val="BodyText"/>
        <w:ind w:end="0"/>
        <w:jc w:val="both"/>
        <w:rPr/>
      </w:pPr>
      <w:r>
        <w:rPr>
          <w:b/>
          <w:sz w:val="22"/>
        </w:rPr>
        <w:t>Credit Resources</w:t>
      </w:r>
      <w:r>
        <w:rPr>
          <w:sz w:val="22"/>
        </w:rPr>
        <w:t xml:space="preserve"> – financial resources, including but not limited to investment-grade bond rating, a guarantee from a parent entity with an investment-grade bond rating, and/or a letter of credit or cash deposit in the Credit Amount.</w:t>
      </w:r>
    </w:p>
    <w:p>
      <w:pPr>
        <w:pStyle w:val="BodyText"/>
        <w:ind w:end="0"/>
        <w:jc w:val="both"/>
        <w:rPr>
          <w:sz w:val="22"/>
        </w:rPr>
      </w:pPr>
      <w:r>
        <w:rPr>
          <w:sz w:val="22"/>
        </w:rPr>
      </w:r>
    </w:p>
    <w:p>
      <w:pPr>
        <w:pStyle w:val="BodyText"/>
        <w:ind w:end="0"/>
        <w:jc w:val="both"/>
        <w:rPr/>
      </w:pPr>
      <w:r>
        <w:rPr>
          <w:b/>
          <w:sz w:val="22"/>
        </w:rPr>
        <w:t>Creditworthy</w:t>
      </w:r>
      <w:r>
        <w:rPr>
          <w:sz w:val="22"/>
        </w:rPr>
        <w:t xml:space="preserve"> – a Creditworthy Electricity Supplier meets BGE’s credit standards and pays BGE's billed Charges when due.</w:t>
      </w:r>
    </w:p>
    <w:p>
      <w:pPr>
        <w:pStyle w:val="BodyText"/>
        <w:ind w:end="0"/>
        <w:jc w:val="both"/>
        <w:rPr>
          <w:sz w:val="22"/>
        </w:rPr>
      </w:pPr>
      <w:r>
        <w:rPr>
          <w:sz w:val="22"/>
        </w:rPr>
      </w:r>
    </w:p>
    <w:p>
      <w:pPr>
        <w:pStyle w:val="BodyText"/>
        <w:ind w:end="0"/>
        <w:jc w:val="both"/>
        <w:rPr/>
      </w:pPr>
      <w:r>
        <w:rPr>
          <w:b/>
          <w:sz w:val="22"/>
        </w:rPr>
        <w:t>Customer</w:t>
      </w:r>
      <w:r>
        <w:rPr>
          <w:sz w:val="22"/>
        </w:rPr>
        <w:t xml:space="preserve"> – any person, partnership, association, corporation or governmental agency or other entity or its duly authorized representative receiving Competitive Power Supply from an Electricity Supplier.</w:t>
      </w:r>
    </w:p>
    <w:p>
      <w:pPr>
        <w:pStyle w:val="BodyText"/>
        <w:ind w:end="0"/>
        <w:jc w:val="both"/>
        <w:rPr>
          <w:sz w:val="22"/>
        </w:rPr>
      </w:pPr>
      <w:r>
        <w:rPr>
          <w:sz w:val="22"/>
        </w:rPr>
      </w:r>
    </w:p>
    <w:p>
      <w:pPr>
        <w:pStyle w:val="BodyText"/>
        <w:ind w:end="0"/>
        <w:jc w:val="both"/>
        <w:rPr/>
      </w:pPr>
      <w:r>
        <w:rPr>
          <w:b/>
          <w:sz w:val="22"/>
        </w:rPr>
        <w:t>Default Service</w:t>
      </w:r>
      <w:r>
        <w:rPr>
          <w:sz w:val="22"/>
        </w:rPr>
        <w:t xml:space="preserve"> – electricity supply to be provided by BGE at formula prices to those non-residential customers who are not Standard Offer Service Price Freeze Service customers and, after the initial implementation date of customer choice: (a) contract for electricity with an Electricity Supplier and it is not delivered; (b) cannot arrange for electricity from an Electricity Supplier; or (c) do not choose an Electricity Supplier.  In addition, Default Service is also provided to those non-residential customers who have been denied service or referred to Standard Offer Service by an Electricity Supplier.</w:t>
      </w:r>
    </w:p>
    <w:p>
      <w:pPr>
        <w:pStyle w:val="BodyText"/>
        <w:ind w:end="0"/>
        <w:jc w:val="both"/>
        <w:rPr>
          <w:b/>
          <w:sz w:val="22"/>
        </w:rPr>
      </w:pPr>
      <w:r>
        <w:rPr>
          <w:b/>
          <w:sz w:val="22"/>
        </w:rPr>
      </w:r>
    </w:p>
    <w:p>
      <w:pPr>
        <w:pStyle w:val="BodyText"/>
        <w:ind w:end="0"/>
        <w:jc w:val="both"/>
        <w:rPr>
          <w:b/>
          <w:sz w:val="22"/>
          <w:u w:val="single"/>
        </w:rPr>
      </w:pPr>
      <w:r>
        <w:rPr>
          <w:b/>
          <w:sz w:val="22"/>
        </w:rPr>
        <w:t xml:space="preserve">Deliver </w:t>
      </w:r>
      <w:r>
        <w:rPr>
          <w:sz w:val="22"/>
        </w:rPr>
        <w:t>– to tender a document or other item by certified mail, hand delivery, overnight express package delivery service, courier service, facsimile transmission or electronic transmission with return receipt (with the original transmitted by certified mail, hand delivery, overnight express package delivery service, or courier service).</w:t>
      </w:r>
    </w:p>
    <w:p>
      <w:pPr>
        <w:pStyle w:val="BodyText"/>
        <w:ind w:end="0"/>
        <w:jc w:val="both"/>
        <w:rPr>
          <w:b/>
          <w:sz w:val="22"/>
          <w:u w:val="single"/>
        </w:rPr>
      </w:pPr>
      <w:r>
        <w:rPr>
          <w:b/>
          <w:sz w:val="22"/>
          <w:u w:val="single"/>
        </w:rPr>
      </w:r>
    </w:p>
    <w:p>
      <w:pPr>
        <w:pStyle w:val="BodyText"/>
        <w:ind w:end="0"/>
        <w:jc w:val="both"/>
        <w:rPr/>
      </w:pPr>
      <w:r>
        <w:rPr>
          <w:b/>
          <w:sz w:val="22"/>
        </w:rPr>
        <w:t>Electricity Supplier or Supplier</w:t>
      </w:r>
      <w:r>
        <w:rPr>
          <w:sz w:val="22"/>
        </w:rPr>
        <w:t xml:space="preserve"> – a supplier of electricity that has been certified or licensed by the Commission to sell electricity to retail Customers within the State of Maryland.  For the purpose of this document, BGE is not an Electricity Supplier in the provision of Standard Offer Service.</w:t>
      </w:r>
    </w:p>
    <w:p>
      <w:pPr>
        <w:pStyle w:val="BodyText"/>
        <w:ind w:end="0"/>
        <w:jc w:val="both"/>
        <w:rPr>
          <w:sz w:val="22"/>
        </w:rPr>
      </w:pPr>
      <w:r>
        <w:rPr>
          <w:sz w:val="22"/>
        </w:rPr>
      </w:r>
    </w:p>
    <w:p>
      <w:pPr>
        <w:pStyle w:val="BodyText"/>
        <w:ind w:end="0"/>
        <w:jc w:val="both"/>
        <w:rPr/>
      </w:pPr>
      <w:r>
        <w:rPr>
          <w:b/>
          <w:sz w:val="22"/>
        </w:rPr>
        <w:t>Electricity Supplier Representative</w:t>
      </w:r>
      <w:r>
        <w:rPr>
          <w:sz w:val="22"/>
        </w:rPr>
        <w:t xml:space="preserve"> – any officer, director, employee, consultant, contractor, or other agent or representative of the Electricity Supplier who has the authority to bind Electricity Supplier.</w:t>
      </w:r>
    </w:p>
    <w:p>
      <w:pPr>
        <w:pStyle w:val="BodyText"/>
        <w:ind w:end="0"/>
        <w:jc w:val="both"/>
        <w:rPr>
          <w:sz w:val="22"/>
        </w:rPr>
      </w:pPr>
      <w:r>
        <w:rPr>
          <w:sz w:val="22"/>
        </w:rPr>
      </w:r>
    </w:p>
    <w:p>
      <w:pPr>
        <w:pStyle w:val="BodyText"/>
        <w:ind w:end="0"/>
        <w:jc w:val="both"/>
        <w:rPr/>
      </w:pPr>
      <w:r>
        <w:rPr>
          <w:b/>
          <w:sz w:val="22"/>
        </w:rPr>
        <w:t xml:space="preserve">Electronic Data Interchange or EDI– </w:t>
      </w:r>
      <w:r>
        <w:rPr>
          <w:sz w:val="22"/>
        </w:rPr>
        <w:t>the computer to computer exchange of business documents in conformance with ANSI X12 standards; also known as Electronic Transactions</w:t>
      </w:r>
      <w:r>
        <w:rPr>
          <w:b/>
          <w:sz w:val="22"/>
        </w:rPr>
        <w:t>.</w:t>
      </w:r>
    </w:p>
    <w:p>
      <w:pPr>
        <w:pStyle w:val="BodyText"/>
        <w:ind w:end="0"/>
        <w:jc w:val="both"/>
        <w:rPr>
          <w:b/>
          <w:sz w:val="22"/>
        </w:rPr>
      </w:pPr>
      <w:r>
        <w:rPr>
          <w:b/>
          <w:sz w:val="22"/>
        </w:rPr>
      </w:r>
    </w:p>
    <w:p>
      <w:pPr>
        <w:pStyle w:val="BodyText"/>
        <w:ind w:end="0"/>
        <w:jc w:val="both"/>
        <w:rPr/>
      </w:pPr>
      <w:r>
        <w:rPr>
          <w:b/>
          <w:sz w:val="22"/>
        </w:rPr>
        <w:t xml:space="preserve">Emergency </w:t>
      </w:r>
      <w:r>
        <w:rPr>
          <w:sz w:val="22"/>
        </w:rPr>
        <w:t>– a condition or situation that BGE or PJM deems, in its reasonable judgment, imminently likely to endanger life or property, or affect or impair, or imminently will affect or impair, BGE’s electrical system or the electrical system of others to which BGE’s electrical system is directly or indirectly connected.  Such a condition or situation includes, but is not limited to, potential overloading of BGE’s transmission and/or distribution circuits, PJM minimum generation (“light load”) conditions, unusual operating conditions on either BGE’s or the Electricity Supplier’s electrical system or conditions such that BGE is unable to accept energy from the Electricity Supplier without jeopardizing BGE’s electrical system or the electrical systems of others to which BGE’s electrical system is directly or indirectly interconnected.</w:t>
      </w:r>
    </w:p>
    <w:p>
      <w:pPr>
        <w:pStyle w:val="BodyText"/>
        <w:ind w:end="0"/>
        <w:jc w:val="both"/>
        <w:rPr>
          <w:sz w:val="22"/>
        </w:rPr>
      </w:pPr>
      <w:r>
        <w:rPr>
          <w:sz w:val="22"/>
        </w:rPr>
      </w:r>
    </w:p>
    <w:p>
      <w:pPr>
        <w:pStyle w:val="BodyText"/>
        <w:ind w:end="0"/>
        <w:jc w:val="both"/>
        <w:rPr/>
      </w:pPr>
      <w:r>
        <w:rPr>
          <w:b/>
          <w:sz w:val="22"/>
        </w:rPr>
        <w:t>FERC</w:t>
      </w:r>
      <w:r>
        <w:rPr>
          <w:sz w:val="22"/>
        </w:rPr>
        <w:t xml:space="preserve"> – the Federal Energy Regulatory Commission.</w:t>
      </w:r>
    </w:p>
    <w:p>
      <w:pPr>
        <w:pStyle w:val="BodyText"/>
        <w:ind w:end="0"/>
        <w:jc w:val="both"/>
        <w:rPr>
          <w:sz w:val="22"/>
        </w:rPr>
      </w:pPr>
      <w:r>
        <w:rPr>
          <w:sz w:val="22"/>
        </w:rPr>
      </w:r>
    </w:p>
    <w:p>
      <w:pPr>
        <w:pStyle w:val="BodyText"/>
        <w:ind w:end="0"/>
        <w:jc w:val="both"/>
        <w:rPr/>
      </w:pPr>
      <w:r>
        <w:rPr>
          <w:b/>
          <w:sz w:val="22"/>
        </w:rPr>
        <w:t>Full Requirements Service</w:t>
      </w:r>
      <w:r>
        <w:rPr>
          <w:sz w:val="22"/>
        </w:rPr>
        <w:t xml:space="preserve"> – a provision that requires that an Electricity Supplier be the sole source of electricity supply supporting 100% of its Customers’ purchased supply needs.</w:t>
      </w:r>
    </w:p>
    <w:p>
      <w:pPr>
        <w:pStyle w:val="BodyText"/>
        <w:ind w:end="0"/>
        <w:jc w:val="both"/>
        <w:rPr>
          <w:sz w:val="22"/>
        </w:rPr>
      </w:pPr>
      <w:r>
        <w:rPr>
          <w:sz w:val="22"/>
        </w:rPr>
      </w:r>
    </w:p>
    <w:p>
      <w:pPr>
        <w:pStyle w:val="BodyText"/>
        <w:ind w:end="0"/>
        <w:jc w:val="both"/>
        <w:rPr/>
      </w:pPr>
      <w:r>
        <w:rPr>
          <w:b/>
          <w:sz w:val="22"/>
        </w:rPr>
        <w:t>Interval Metering</w:t>
      </w:r>
      <w:r>
        <w:rPr>
          <w:sz w:val="22"/>
        </w:rPr>
        <w:t xml:space="preserve"> – metering equipment that supplies hourly or sub-hourly kW readings from which billing determinants are derived.</w:t>
      </w:r>
    </w:p>
    <w:p>
      <w:pPr>
        <w:pStyle w:val="BodyText"/>
        <w:ind w:end="0"/>
        <w:jc w:val="both"/>
        <w:rPr/>
      </w:pPr>
      <w:r>
        <w:rPr>
          <w:b/>
          <w:sz w:val="22"/>
        </w:rPr>
        <w:t>Load Serving Entity or LSE</w:t>
      </w:r>
      <w:r>
        <w:rPr>
          <w:sz w:val="22"/>
        </w:rPr>
        <w:t xml:space="preserve"> – a PJM Tariff term referring to an entity that has been granted the authority or has an obligation pursuant to State or local law, regulation or franchise to sell electric energy to end-users within the PJM Control Area.</w:t>
      </w:r>
    </w:p>
    <w:p>
      <w:pPr>
        <w:pStyle w:val="BodyText"/>
        <w:ind w:end="0"/>
        <w:jc w:val="both"/>
        <w:rPr>
          <w:sz w:val="22"/>
        </w:rPr>
      </w:pPr>
      <w:r>
        <w:rPr>
          <w:sz w:val="22"/>
        </w:rPr>
      </w:r>
    </w:p>
    <w:p>
      <w:pPr>
        <w:pStyle w:val="BodyText"/>
        <w:ind w:end="0"/>
        <w:jc w:val="both"/>
        <w:rPr/>
      </w:pPr>
      <w:r>
        <w:rPr>
          <w:b/>
          <w:sz w:val="22"/>
        </w:rPr>
        <w:t>Locational Marginal Price or LMP</w:t>
      </w:r>
      <w:r>
        <w:rPr>
          <w:sz w:val="22"/>
        </w:rPr>
        <w:t xml:space="preserve"> – the hourly integrated marginal price to serve load at specific locations or zones within PJM, calculated by the PJM OI as specified in the PJM Tariff.</w:t>
      </w:r>
    </w:p>
    <w:p>
      <w:pPr>
        <w:pStyle w:val="BodyText"/>
        <w:ind w:end="0"/>
        <w:jc w:val="both"/>
        <w:rPr>
          <w:sz w:val="22"/>
        </w:rPr>
      </w:pPr>
      <w:r>
        <w:rPr>
          <w:sz w:val="22"/>
        </w:rPr>
      </w:r>
    </w:p>
    <w:p>
      <w:pPr>
        <w:pStyle w:val="BodyText"/>
        <w:ind w:end="0"/>
        <w:jc w:val="both"/>
        <w:rPr/>
      </w:pPr>
      <w:r>
        <w:rPr>
          <w:b/>
          <w:sz w:val="22"/>
        </w:rPr>
        <w:t>Meter Read Date</w:t>
      </w:r>
      <w:r>
        <w:rPr>
          <w:sz w:val="22"/>
        </w:rPr>
        <w:t xml:space="preserve"> – the date on which BGE reads or estimates a meter for purposes of producing a Customer bill in accordance with the regularly scheduled billing cycles of BGE.</w:t>
      </w:r>
    </w:p>
    <w:p>
      <w:pPr>
        <w:pStyle w:val="BodyText"/>
        <w:ind w:end="0"/>
        <w:jc w:val="both"/>
        <w:rPr>
          <w:sz w:val="22"/>
        </w:rPr>
      </w:pPr>
      <w:r>
        <w:rPr>
          <w:sz w:val="22"/>
        </w:rPr>
      </w:r>
    </w:p>
    <w:p>
      <w:pPr>
        <w:pStyle w:val="BodyText"/>
        <w:ind w:end="0"/>
        <w:jc w:val="both"/>
        <w:rPr/>
      </w:pPr>
      <w:r>
        <w:rPr>
          <w:b/>
          <w:sz w:val="22"/>
        </w:rPr>
        <w:t>Month</w:t>
      </w:r>
      <w:r>
        <w:rPr>
          <w:sz w:val="22"/>
        </w:rPr>
        <w:t xml:space="preserve"> – a month under this Tariff means one-twelfth of a year, or the period of approximately 30 days between two regular consecutive readings of BGE’s meter(s) installed on the Customer’s premises.</w:t>
      </w:r>
    </w:p>
    <w:p>
      <w:pPr>
        <w:pStyle w:val="BodyText"/>
        <w:ind w:end="0"/>
        <w:jc w:val="both"/>
        <w:rPr>
          <w:sz w:val="22"/>
        </w:rPr>
      </w:pPr>
      <w:r>
        <w:rPr>
          <w:sz w:val="22"/>
        </w:rPr>
      </w:r>
    </w:p>
    <w:p>
      <w:pPr>
        <w:pStyle w:val="BodyText"/>
        <w:ind w:end="0"/>
        <w:jc w:val="both"/>
        <w:rPr/>
      </w:pPr>
      <w:r>
        <w:rPr>
          <w:b/>
          <w:sz w:val="22"/>
        </w:rPr>
        <w:t>Non-standard Metering</w:t>
      </w:r>
      <w:r>
        <w:rPr>
          <w:sz w:val="22"/>
        </w:rPr>
        <w:t xml:space="preserve"> – Metering requested by an Electricity Supplier that captures information beyond the minimum components required by the Customer’s prevailing retail service tariff and/or requires a reading methodology or schedule that varies from Standard Metering Services.</w:t>
      </w:r>
    </w:p>
    <w:p>
      <w:pPr>
        <w:pStyle w:val="BodyText"/>
        <w:ind w:end="0"/>
        <w:jc w:val="both"/>
        <w:rPr>
          <w:sz w:val="22"/>
        </w:rPr>
      </w:pPr>
      <w:r>
        <w:rPr>
          <w:sz w:val="22"/>
        </w:rPr>
      </w:r>
    </w:p>
    <w:p>
      <w:pPr>
        <w:pStyle w:val="BodyText"/>
        <w:ind w:end="0"/>
        <w:jc w:val="both"/>
        <w:rPr/>
      </w:pPr>
      <w:r>
        <w:rPr>
          <w:b/>
          <w:sz w:val="22"/>
        </w:rPr>
        <w:t xml:space="preserve">PJM </w:t>
      </w:r>
      <w:r>
        <w:rPr>
          <w:sz w:val="22"/>
        </w:rPr>
        <w:t>– PJM Interconnection, L.L.C.</w:t>
      </w:r>
    </w:p>
    <w:p>
      <w:pPr>
        <w:pStyle w:val="BodyText"/>
        <w:ind w:end="0"/>
        <w:jc w:val="both"/>
        <w:rPr>
          <w:sz w:val="22"/>
        </w:rPr>
      </w:pPr>
      <w:r>
        <w:rPr>
          <w:sz w:val="22"/>
        </w:rPr>
      </w:r>
    </w:p>
    <w:p>
      <w:pPr>
        <w:pStyle w:val="BodyText"/>
        <w:ind w:end="0"/>
        <w:jc w:val="both"/>
        <w:rPr/>
      </w:pPr>
      <w:r>
        <w:rPr>
          <w:b/>
          <w:sz w:val="22"/>
        </w:rPr>
        <w:t>PJM Control Area</w:t>
      </w:r>
      <w:r>
        <w:rPr>
          <w:sz w:val="22"/>
        </w:rPr>
        <w:t xml:space="preserve"> – the area encompassing electric systems recognized by the North American Electric Reliability Council as the “PJM Control Area.”</w:t>
      </w:r>
    </w:p>
    <w:p>
      <w:pPr>
        <w:pStyle w:val="BodyText"/>
        <w:ind w:end="0"/>
        <w:jc w:val="both"/>
        <w:rPr>
          <w:sz w:val="22"/>
        </w:rPr>
      </w:pPr>
      <w:r>
        <w:rPr>
          <w:sz w:val="22"/>
        </w:rPr>
      </w:r>
    </w:p>
    <w:p>
      <w:pPr>
        <w:pStyle w:val="BodyText"/>
        <w:ind w:end="0"/>
        <w:jc w:val="both"/>
        <w:rPr/>
      </w:pPr>
      <w:r>
        <w:rPr>
          <w:b/>
          <w:sz w:val="22"/>
        </w:rPr>
        <w:t>PJM OI</w:t>
      </w:r>
      <w:r>
        <w:rPr>
          <w:sz w:val="22"/>
        </w:rPr>
        <w:t xml:space="preserve"> – the PJM Office of Interconnection, the system operator for the PJM Control Area.</w:t>
      </w:r>
    </w:p>
    <w:p>
      <w:pPr>
        <w:pStyle w:val="BodyText"/>
        <w:ind w:end="0"/>
        <w:jc w:val="both"/>
        <w:rPr>
          <w:sz w:val="22"/>
        </w:rPr>
      </w:pPr>
      <w:r>
        <w:rPr>
          <w:sz w:val="22"/>
        </w:rPr>
      </w:r>
    </w:p>
    <w:p>
      <w:pPr>
        <w:pStyle w:val="BodyText"/>
        <w:ind w:end="0"/>
        <w:jc w:val="both"/>
        <w:rPr/>
      </w:pPr>
      <w:r>
        <w:rPr>
          <w:b/>
          <w:sz w:val="22"/>
        </w:rPr>
        <w:t>PJM Tariff</w:t>
      </w:r>
      <w:r>
        <w:rPr>
          <w:sz w:val="22"/>
        </w:rPr>
        <w:t xml:space="preserve"> – the PJM Open Access Transmission Tariff on file with the FERC and which sets forth the rates, terms and conditions of transmission service over transmission facilities located in the PJM Control Area.</w:t>
      </w:r>
    </w:p>
    <w:p>
      <w:pPr>
        <w:pStyle w:val="BodyText"/>
        <w:ind w:end="0"/>
        <w:jc w:val="both"/>
        <w:rPr>
          <w:sz w:val="22"/>
        </w:rPr>
      </w:pPr>
      <w:r>
        <w:rPr>
          <w:sz w:val="22"/>
        </w:rPr>
      </w:r>
    </w:p>
    <w:p>
      <w:pPr>
        <w:pStyle w:val="BodyText"/>
        <w:ind w:end="0"/>
        <w:jc w:val="both"/>
        <w:rPr/>
      </w:pPr>
      <w:r>
        <w:rPr>
          <w:b/>
          <w:sz w:val="22"/>
        </w:rPr>
        <w:t>Reliability Assurance Agreement or RAA</w:t>
      </w:r>
      <w:r>
        <w:rPr>
          <w:sz w:val="22"/>
        </w:rPr>
        <w:t xml:space="preserve"> – the Reliability Assurance Agreement among Load Serving Entities in the PJM Control Area dated June 2, 1997, as amended, modified or supplemented from time to time.</w:t>
      </w:r>
    </w:p>
    <w:p>
      <w:pPr>
        <w:pStyle w:val="BodyText"/>
        <w:ind w:end="0"/>
        <w:jc w:val="both"/>
        <w:rPr>
          <w:sz w:val="22"/>
        </w:rPr>
      </w:pPr>
      <w:r>
        <w:rPr>
          <w:sz w:val="22"/>
        </w:rPr>
      </w:r>
    </w:p>
    <w:p>
      <w:pPr>
        <w:pStyle w:val="BodyText"/>
        <w:ind w:end="0"/>
        <w:jc w:val="both"/>
        <w:rPr/>
      </w:pPr>
      <w:r>
        <w:rPr>
          <w:b/>
          <w:sz w:val="22"/>
        </w:rPr>
        <w:t>Scheduling Coordinator</w:t>
      </w:r>
      <w:r>
        <w:rPr>
          <w:sz w:val="22"/>
        </w:rPr>
        <w:t xml:space="preserve"> – an entity recognized by the PJM OI and qualified to act on behalf of the Electricity Supplier in taking such actions with PJM as are necessary in order for Electricity Supplier’s obligations as defined in this Tariff to be met, including the submission of energy schedules to the PJM OI, and that either is (1) a member of the PJM Interconnection, L.L.C., or (2) the PJM-approved agent for scheduling purposes, of one or more Electricity Suppliers that are members of the PJM Interconnection, L.L.C.</w:t>
      </w:r>
    </w:p>
    <w:p>
      <w:pPr>
        <w:pStyle w:val="BodyText"/>
        <w:ind w:end="0"/>
        <w:jc w:val="both"/>
        <w:rPr>
          <w:sz w:val="22"/>
        </w:rPr>
      </w:pPr>
      <w:r>
        <w:rPr>
          <w:sz w:val="22"/>
        </w:rPr>
      </w:r>
    </w:p>
    <w:p>
      <w:pPr>
        <w:pStyle w:val="BodyText"/>
        <w:ind w:end="0"/>
        <w:jc w:val="both"/>
        <w:rPr/>
      </w:pPr>
      <w:r>
        <w:rPr>
          <w:b/>
          <w:sz w:val="22"/>
        </w:rPr>
        <w:t>Service Territory</w:t>
      </w:r>
      <w:r>
        <w:rPr>
          <w:sz w:val="22"/>
        </w:rPr>
        <w:t xml:space="preserve"> – the geographic areas of the State of Maryland in which BGE has an electric distribution franchise to serve electric customers.  Also known as Service Area.</w:t>
      </w:r>
    </w:p>
    <w:p>
      <w:pPr>
        <w:pStyle w:val="BodyText"/>
        <w:ind w:end="0"/>
        <w:jc w:val="both"/>
        <w:rPr>
          <w:sz w:val="22"/>
        </w:rPr>
      </w:pPr>
      <w:r>
        <w:rPr>
          <w:sz w:val="22"/>
        </w:rPr>
      </w:r>
    </w:p>
    <w:p>
      <w:pPr>
        <w:pStyle w:val="BodyText"/>
        <w:ind w:end="0"/>
        <w:jc w:val="both"/>
        <w:rPr/>
      </w:pPr>
      <w:r>
        <w:rPr>
          <w:b/>
          <w:sz w:val="22"/>
        </w:rPr>
        <w:t>Standard Metering Services</w:t>
      </w:r>
      <w:r>
        <w:rPr>
          <w:sz w:val="22"/>
        </w:rPr>
        <w:t xml:space="preserve"> – the capture by metering equipment of the minimum billing components required by the prevailing retail service tariff that is read or estimated on scheduled meter reading dates in order to enable a Customer's bill to be created in accordance with the regularly scheduled billing cycle.</w:t>
      </w:r>
    </w:p>
    <w:p>
      <w:pPr>
        <w:pStyle w:val="BodyText"/>
        <w:ind w:end="0"/>
        <w:jc w:val="both"/>
        <w:rPr>
          <w:sz w:val="22"/>
        </w:rPr>
      </w:pPr>
      <w:r>
        <w:rPr>
          <w:sz w:val="22"/>
        </w:rPr>
      </w:r>
    </w:p>
    <w:p>
      <w:pPr>
        <w:pStyle w:val="BodyText"/>
        <w:ind w:end="0"/>
        <w:jc w:val="both"/>
        <w:rPr/>
      </w:pPr>
      <w:r>
        <w:rPr>
          <w:b/>
          <w:sz w:val="22"/>
        </w:rPr>
        <w:t>Standard Offer Service</w:t>
      </w:r>
      <w:r>
        <w:rPr>
          <w:sz w:val="22"/>
        </w:rPr>
        <w:t xml:space="preserve"> – electricity service that BGE must offer, until at least July 1, 2003, to its customers who do not otherwise receive electricity from an Electricity Supplier.</w:t>
      </w:r>
    </w:p>
    <w:p>
      <w:pPr>
        <w:pStyle w:val="BodyText"/>
        <w:ind w:end="0"/>
        <w:jc w:val="both"/>
        <w:rPr>
          <w:sz w:val="22"/>
        </w:rPr>
      </w:pPr>
      <w:r>
        <w:rPr>
          <w:sz w:val="22"/>
        </w:rPr>
      </w:r>
    </w:p>
    <w:p>
      <w:pPr>
        <w:pStyle w:val="BodyText"/>
        <w:ind w:end="0"/>
        <w:jc w:val="both"/>
        <w:rPr/>
      </w:pPr>
      <w:r>
        <w:rPr>
          <w:b/>
          <w:sz w:val="22"/>
        </w:rPr>
        <w:t>Undisputed Charges</w:t>
      </w:r>
      <w:r>
        <w:rPr>
          <w:sz w:val="22"/>
        </w:rPr>
        <w:t xml:space="preserve"> – charges for Coordination Services for which Electricity Supplier has not invoked the dispute resolution provisions.</w:t>
      </w:r>
    </w:p>
    <w:p>
      <w:pPr>
        <w:pStyle w:val="BodyText"/>
        <w:ind w:end="0"/>
        <w:jc w:val="both"/>
        <w:rPr>
          <w:sz w:val="22"/>
        </w:rPr>
      </w:pPr>
      <w:r>
        <w:rPr>
          <w:sz w:val="22"/>
        </w:rPr>
      </w:r>
    </w:p>
    <w:p>
      <w:pPr>
        <w:pStyle w:val="Heading3"/>
        <w:ind w:hanging="0" w:start="0"/>
        <w:rPr/>
      </w:pPr>
      <w:r>
        <w:rPr/>
        <w:t>ELECTRICITY SUPPLIER OBLIGATIONS</w:t>
      </w:r>
    </w:p>
    <w:p>
      <w:pPr>
        <w:pStyle w:val="BodyText3"/>
        <w:rPr>
          <w:sz w:val="22"/>
        </w:rPr>
      </w:pPr>
      <w:r>
        <w:rPr>
          <w:sz w:val="22"/>
        </w:rPr>
        <w:t>Each Electricity Supplier must:</w:t>
      </w:r>
    </w:p>
    <w:p>
      <w:pPr>
        <w:pStyle w:val="Normal"/>
        <w:numPr>
          <w:ilvl w:val="0"/>
          <w:numId w:val="53"/>
        </w:numPr>
        <w:tabs>
          <w:tab w:val="clear" w:pos="720"/>
          <w:tab w:val="left" w:pos="-2070" w:leader="none"/>
          <w:tab w:val="left" w:pos="-810" w:leader="none"/>
        </w:tabs>
        <w:ind w:hanging="360" w:start="360" w:end="0"/>
        <w:jc w:val="both"/>
        <w:rPr>
          <w:sz w:val="22"/>
        </w:rPr>
      </w:pPr>
      <w:r>
        <w:rPr>
          <w:sz w:val="22"/>
        </w:rPr>
        <w:t xml:space="preserve">Obtain a license and any other necessary approvals from the Commission and any other appropriate Maryland State agencies and local governments for participation in the Maryland retail energy market </w:t>
      </w:r>
    </w:p>
    <w:p>
      <w:pPr>
        <w:pStyle w:val="Normal"/>
        <w:numPr>
          <w:ilvl w:val="0"/>
          <w:numId w:val="53"/>
        </w:numPr>
        <w:tabs>
          <w:tab w:val="clear" w:pos="720"/>
          <w:tab w:val="left" w:pos="-1980" w:leader="none"/>
          <w:tab w:val="left" w:pos="-1530" w:leader="none"/>
        </w:tabs>
        <w:ind w:hanging="360" w:start="360" w:end="0"/>
        <w:jc w:val="both"/>
        <w:rPr>
          <w:sz w:val="22"/>
        </w:rPr>
      </w:pPr>
      <w:r>
        <w:rPr>
          <w:sz w:val="22"/>
        </w:rPr>
        <w:t xml:space="preserve">Execute all appropriate PJM applications and agreements; </w:t>
      </w:r>
    </w:p>
    <w:p>
      <w:pPr>
        <w:pStyle w:val="Normal"/>
        <w:numPr>
          <w:ilvl w:val="0"/>
          <w:numId w:val="53"/>
        </w:numPr>
        <w:tabs>
          <w:tab w:val="clear" w:pos="720"/>
          <w:tab w:val="left" w:pos="-2070" w:leader="none"/>
          <w:tab w:val="left" w:pos="-1890" w:leader="none"/>
        </w:tabs>
        <w:ind w:hanging="360" w:start="360" w:end="0"/>
        <w:jc w:val="both"/>
        <w:rPr>
          <w:sz w:val="22"/>
        </w:rPr>
      </w:pPr>
      <w:r>
        <w:rPr>
          <w:sz w:val="22"/>
        </w:rPr>
        <w:t>Submit a completed Application Package to BGE;</w:t>
      </w:r>
    </w:p>
    <w:p>
      <w:pPr>
        <w:pStyle w:val="Normal"/>
        <w:numPr>
          <w:ilvl w:val="0"/>
          <w:numId w:val="53"/>
        </w:numPr>
        <w:tabs>
          <w:tab w:val="clear" w:pos="720"/>
          <w:tab w:val="left" w:pos="-2070" w:leader="none"/>
          <w:tab w:val="left" w:pos="-1620" w:leader="none"/>
          <w:tab w:val="left" w:pos="-1080" w:leader="none"/>
        </w:tabs>
        <w:ind w:hanging="360" w:start="360" w:end="0"/>
        <w:jc w:val="both"/>
        <w:rPr>
          <w:sz w:val="22"/>
        </w:rPr>
      </w:pPr>
      <w:r>
        <w:rPr>
          <w:sz w:val="22"/>
        </w:rPr>
        <w:t xml:space="preserve">Satisfy the creditworthiness standards of BGE; </w:t>
      </w:r>
    </w:p>
    <w:p>
      <w:pPr>
        <w:pStyle w:val="Normal"/>
        <w:keepNext w:val="true"/>
        <w:numPr>
          <w:ilvl w:val="0"/>
          <w:numId w:val="53"/>
        </w:numPr>
        <w:tabs>
          <w:tab w:val="clear" w:pos="720"/>
          <w:tab w:val="left" w:pos="-2070" w:leader="none"/>
          <w:tab w:val="left" w:pos="0" w:leader="none"/>
        </w:tabs>
        <w:ind w:hanging="360" w:start="360" w:end="0"/>
        <w:jc w:val="both"/>
        <w:rPr>
          <w:sz w:val="22"/>
        </w:rPr>
      </w:pPr>
      <w:r>
        <w:rPr>
          <w:sz w:val="22"/>
        </w:rPr>
        <w:t>Demonstrate, prior to Customer enrollment, that it is equipped with the communication capabilities necessary to comply with Electronic Data Interchange ("EDI") testing requirements as approved by the Commission</w:t>
      </w:r>
    </w:p>
    <w:p>
      <w:pPr>
        <w:pStyle w:val="Normal"/>
        <w:numPr>
          <w:ilvl w:val="0"/>
          <w:numId w:val="53"/>
        </w:numPr>
        <w:tabs>
          <w:tab w:val="clear" w:pos="720"/>
          <w:tab w:val="left" w:pos="-2070" w:leader="none"/>
        </w:tabs>
        <w:ind w:hanging="360" w:start="360" w:end="0"/>
        <w:jc w:val="both"/>
        <w:rPr>
          <w:sz w:val="22"/>
        </w:rPr>
      </w:pPr>
      <w:r>
        <w:rPr>
          <w:sz w:val="22"/>
        </w:rPr>
        <w:t>Pay all present or future federal, state, municipal, or other taxes imposed by any taxing authority for sale of Competitive Power Supply to retail Customers under this Tariff.  The Electricity Supplier shall collect and remit all such taxes to the applicable taxing authority to the extent required or permitted by law.  If any transaction is exempt from the payment of any such taxes, the Electricity Supplier will, if requested, provide BGE with valid tax exemption certificates for Customers for whom BGE is performing billing services for the Electricity Supplier.  Should BGE be required to remit any such taxes directly to any applicable taxing authority, other than taxes previously collected by BGE directly from the Electricity Supplier’s Customers, the Electricity Supplier indemnifies BGE and will pay to BGE all such tax amounts upon demand.</w:t>
      </w:r>
    </w:p>
    <w:p>
      <w:pPr>
        <w:pStyle w:val="Normal"/>
        <w:tabs>
          <w:tab w:val="clear" w:pos="720"/>
          <w:tab w:val="left" w:pos="-2070" w:leader="none"/>
        </w:tabs>
        <w:jc w:val="both"/>
        <w:rPr>
          <w:b/>
          <w:sz w:val="22"/>
        </w:rPr>
      </w:pPr>
      <w:r>
        <w:rPr>
          <w:b/>
          <w:sz w:val="22"/>
        </w:rPr>
      </w:r>
    </w:p>
    <w:p>
      <w:pPr>
        <w:pStyle w:val="Normal"/>
        <w:numPr>
          <w:ilvl w:val="0"/>
          <w:numId w:val="13"/>
        </w:numPr>
        <w:jc w:val="both"/>
        <w:rPr>
          <w:sz w:val="22"/>
        </w:rPr>
      </w:pPr>
      <w:r>
        <w:rPr>
          <w:sz w:val="22"/>
        </w:rPr>
        <w:t>Coordination Services shall commence within 15 days after the execution by all parties of the Supplier Coordination Agreement, provided that all of the information necessary for BGE to provide services has been provided to BGE and any conditions have been satisfied by the Electricity Supplier.</w:t>
      </w:r>
    </w:p>
    <w:p>
      <w:pPr>
        <w:pStyle w:val="Normal"/>
        <w:jc w:val="both"/>
        <w:rPr>
          <w:sz w:val="22"/>
        </w:rPr>
      </w:pPr>
      <w:r>
        <w:rPr>
          <w:sz w:val="22"/>
        </w:rPr>
      </w:r>
    </w:p>
    <w:p>
      <w:pPr>
        <w:pStyle w:val="Normal"/>
        <w:numPr>
          <w:ilvl w:val="0"/>
          <w:numId w:val="13"/>
        </w:numPr>
        <w:jc w:val="both"/>
        <w:rPr>
          <w:sz w:val="22"/>
        </w:rPr>
      </w:pPr>
      <w:r>
        <w:rPr>
          <w:sz w:val="22"/>
        </w:rPr>
        <w:t>Once the Supplier has satisfied all registration requirements including EDI</w:t>
      </w:r>
      <w:r>
        <w:fldChar w:fldCharType="begin"/>
      </w:r>
      <w:r>
        <w:rPr/>
        <w:instrText xml:space="preserve"> XE "EDI" </w:instrText>
      </w:r>
      <w:r>
        <w:rPr/>
        <w:fldChar w:fldCharType="separate"/>
      </w:r>
      <w:r>
        <w:rPr/>
      </w:r>
      <w:r>
        <w:rPr/>
        <w:fldChar w:fldCharType="end"/>
      </w:r>
      <w:r>
        <w:rPr>
          <w:sz w:val="22"/>
        </w:rPr>
        <w:t xml:space="preserve"> testing</w:t>
      </w:r>
      <w:r>
        <w:fldChar w:fldCharType="begin"/>
      </w:r>
      <w:r>
        <w:rPr/>
        <w:instrText xml:space="preserve"> XE "testing" </w:instrText>
      </w:r>
      <w:r>
        <w:rPr/>
        <w:fldChar w:fldCharType="separate"/>
      </w:r>
      <w:r>
        <w:rPr/>
      </w:r>
      <w:r>
        <w:rPr/>
        <w:fldChar w:fldCharType="end"/>
      </w:r>
      <w:r>
        <w:rPr>
          <w:sz w:val="22"/>
        </w:rPr>
        <w:t xml:space="preserve">, Supplier Account Management will execute all letters and agreements necessary to fully execute the Supplier’s Registration package with BGE.  </w:t>
      </w:r>
    </w:p>
    <w:p>
      <w:pPr>
        <w:pStyle w:val="Normal"/>
        <w:ind w:firstLine="360" w:end="0"/>
        <w:jc w:val="both"/>
        <w:rPr>
          <w:sz w:val="22"/>
        </w:rPr>
      </w:pPr>
      <w:r>
        <w:rPr>
          <w:sz w:val="22"/>
        </w:rPr>
        <w:t>This includes:</w:t>
      </w:r>
    </w:p>
    <w:p>
      <w:pPr>
        <w:pStyle w:val="Normal"/>
        <w:numPr>
          <w:ilvl w:val="0"/>
          <w:numId w:val="28"/>
        </w:numPr>
        <w:tabs>
          <w:tab w:val="clear" w:pos="720"/>
          <w:tab w:val="left" w:pos="1080" w:leader="none"/>
        </w:tabs>
        <w:ind w:hanging="360" w:start="1080" w:end="0"/>
        <w:jc w:val="both"/>
        <w:rPr>
          <w:sz w:val="22"/>
        </w:rPr>
      </w:pPr>
      <w:r>
        <w:rPr>
          <w:sz w:val="22"/>
        </w:rPr>
        <w:t>Supplier Coordination Agreement</w:t>
      </w:r>
      <w:r>
        <w:fldChar w:fldCharType="begin"/>
      </w:r>
      <w:r>
        <w:rPr/>
        <w:instrText xml:space="preserve"> XE "Supplier Coordination Agreement" </w:instrText>
      </w:r>
      <w:r>
        <w:rPr/>
        <w:fldChar w:fldCharType="separate"/>
      </w:r>
      <w:r>
        <w:rPr/>
      </w:r>
      <w:r>
        <w:rPr/>
        <w:fldChar w:fldCharType="end"/>
      </w:r>
    </w:p>
    <w:p>
      <w:pPr>
        <w:pStyle w:val="Normal"/>
        <w:numPr>
          <w:ilvl w:val="0"/>
          <w:numId w:val="28"/>
        </w:numPr>
        <w:tabs>
          <w:tab w:val="clear" w:pos="720"/>
          <w:tab w:val="left" w:pos="1080" w:leader="none"/>
        </w:tabs>
        <w:ind w:hanging="360" w:start="1080" w:end="0"/>
        <w:jc w:val="both"/>
        <w:rPr>
          <w:sz w:val="22"/>
        </w:rPr>
      </w:pPr>
      <w:r>
        <w:rPr>
          <w:sz w:val="22"/>
        </w:rPr>
        <w:t>EDI</w:t>
      </w:r>
      <w:r>
        <w:fldChar w:fldCharType="begin"/>
      </w:r>
      <w:r>
        <w:rPr/>
        <w:instrText xml:space="preserve"> XE "EDI" </w:instrText>
      </w:r>
      <w:r>
        <w:rPr/>
        <w:fldChar w:fldCharType="separate"/>
      </w:r>
      <w:r>
        <w:rPr/>
      </w:r>
      <w:r>
        <w:rPr/>
        <w:fldChar w:fldCharType="end"/>
      </w:r>
      <w:r>
        <w:rPr>
          <w:sz w:val="22"/>
        </w:rPr>
        <w:t xml:space="preserve"> Trading Partner Agreement</w:t>
      </w:r>
      <w:r>
        <w:fldChar w:fldCharType="begin"/>
      </w:r>
      <w:r>
        <w:rPr/>
        <w:instrText xml:space="preserve"> XE "Trading Partner Agreement" </w:instrText>
      </w:r>
      <w:r>
        <w:rPr/>
        <w:fldChar w:fldCharType="separate"/>
      </w:r>
      <w:r>
        <w:rPr/>
      </w:r>
      <w:r>
        <w:rPr/>
        <w:fldChar w:fldCharType="end"/>
      </w:r>
    </w:p>
    <w:p>
      <w:pPr>
        <w:pStyle w:val="Normal"/>
        <w:numPr>
          <w:ilvl w:val="0"/>
          <w:numId w:val="28"/>
        </w:numPr>
        <w:tabs>
          <w:tab w:val="clear" w:pos="720"/>
          <w:tab w:val="left" w:pos="1080" w:leader="none"/>
        </w:tabs>
        <w:ind w:hanging="360" w:start="1080" w:end="0"/>
        <w:jc w:val="both"/>
        <w:rPr>
          <w:sz w:val="22"/>
        </w:rPr>
      </w:pPr>
      <w:r>
        <w:rPr>
          <w:sz w:val="22"/>
        </w:rPr>
        <w:t>Consumption Data Reporting Agreement</w:t>
      </w:r>
      <w:r>
        <w:fldChar w:fldCharType="begin"/>
      </w:r>
      <w:r>
        <w:rPr/>
        <w:instrText xml:space="preserve"> XE "Consumption Data Reporting Agreement" </w:instrText>
      </w:r>
      <w:r>
        <w:rPr/>
        <w:fldChar w:fldCharType="separate"/>
      </w:r>
      <w:r>
        <w:rPr/>
      </w:r>
      <w:r>
        <w:rPr/>
        <w:fldChar w:fldCharType="end"/>
      </w:r>
      <w:r>
        <w:rPr>
          <w:sz w:val="22"/>
        </w:rPr>
        <w:t xml:space="preserve"> (optional)</w:t>
      </w:r>
    </w:p>
    <w:p>
      <w:pPr>
        <w:pStyle w:val="Normal"/>
        <w:jc w:val="both"/>
        <w:rPr>
          <w:sz w:val="22"/>
        </w:rPr>
      </w:pPr>
      <w:r>
        <w:rPr>
          <w:sz w:val="22"/>
        </w:rPr>
      </w:r>
    </w:p>
    <w:p>
      <w:pPr>
        <w:pStyle w:val="Normal"/>
        <w:numPr>
          <w:ilvl w:val="0"/>
          <w:numId w:val="11"/>
        </w:numPr>
        <w:tabs>
          <w:tab w:val="clear" w:pos="720"/>
          <w:tab w:val="left" w:pos="-1080" w:leader="none"/>
        </w:tabs>
        <w:jc w:val="both"/>
        <w:rPr>
          <w:sz w:val="22"/>
        </w:rPr>
      </w:pPr>
      <w:r>
        <w:rPr>
          <w:sz w:val="22"/>
        </w:rPr>
        <w:t>The executed forms will be packaged with the Supplier Acceptance Cover Letter.   This cover letter notifies the Supplier of their acceptance, states the Commencement of Coordination Services</w:t>
      </w:r>
      <w:r>
        <w:fldChar w:fldCharType="begin"/>
      </w:r>
      <w:r>
        <w:rPr/>
        <w:instrText xml:space="preserve"> XE "Coordination Services" </w:instrText>
      </w:r>
      <w:r>
        <w:rPr/>
        <w:fldChar w:fldCharType="separate"/>
      </w:r>
      <w:r>
        <w:rPr/>
      </w:r>
      <w:r>
        <w:rPr/>
        <w:fldChar w:fldCharType="end"/>
      </w:r>
      <w:r>
        <w:rPr>
          <w:sz w:val="22"/>
        </w:rPr>
        <w:t xml:space="preserve"> date and provides the following additional information:</w:t>
      </w:r>
    </w:p>
    <w:p>
      <w:pPr>
        <w:pStyle w:val="Normal"/>
        <w:numPr>
          <w:ilvl w:val="0"/>
          <w:numId w:val="34"/>
        </w:numPr>
        <w:tabs>
          <w:tab w:val="clear" w:pos="720"/>
          <w:tab w:val="left" w:pos="0" w:leader="none"/>
          <w:tab w:val="left" w:pos="1080" w:leader="none"/>
        </w:tabs>
        <w:ind w:hanging="360" w:start="1080" w:end="0"/>
        <w:jc w:val="both"/>
        <w:rPr>
          <w:sz w:val="22"/>
        </w:rPr>
      </w:pPr>
      <w:r>
        <w:rPr>
          <w:sz w:val="22"/>
        </w:rPr>
        <w:t>The Supplier’s user Identification/Supplier Number</w:t>
      </w:r>
      <w:r>
        <w:fldChar w:fldCharType="begin"/>
      </w:r>
      <w:r>
        <w:rPr/>
        <w:instrText xml:space="preserve"> XE "Identification/Supplier Number" </w:instrText>
      </w:r>
      <w:r>
        <w:rPr/>
        <w:fldChar w:fldCharType="separate"/>
      </w:r>
      <w:r>
        <w:rPr/>
      </w:r>
      <w:r>
        <w:rPr/>
        <w:fldChar w:fldCharType="end"/>
      </w:r>
      <w:r>
        <w:rPr>
          <w:sz w:val="22"/>
        </w:rPr>
        <w:t xml:space="preserve"> (9-digit CIS number). </w:t>
      </w:r>
    </w:p>
    <w:p>
      <w:pPr>
        <w:pStyle w:val="Normal"/>
        <w:numPr>
          <w:ilvl w:val="0"/>
          <w:numId w:val="34"/>
        </w:numPr>
        <w:tabs>
          <w:tab w:val="clear" w:pos="720"/>
          <w:tab w:val="left" w:pos="0" w:leader="none"/>
          <w:tab w:val="left" w:pos="1080" w:leader="none"/>
        </w:tabs>
        <w:ind w:hanging="360" w:start="1080" w:end="0"/>
        <w:jc w:val="both"/>
        <w:rPr>
          <w:sz w:val="22"/>
        </w:rPr>
      </w:pPr>
      <w:r>
        <w:rPr>
          <w:sz w:val="22"/>
        </w:rPr>
        <w:t xml:space="preserve">A six character “User ID” to allow the Supplier to access the </w:t>
      </w:r>
      <w:r>
        <w:fldChar w:fldCharType="begin"/>
      </w:r>
      <w:r>
        <w:rPr/>
        <w:instrText xml:space="preserve"> XE "User Password" </w:instrText>
      </w:r>
      <w:r>
        <w:rPr/>
        <w:fldChar w:fldCharType="separate"/>
      </w:r>
      <w:r>
        <w:rPr/>
      </w:r>
      <w:r>
        <w:rPr/>
        <w:fldChar w:fldCharType="end"/>
      </w:r>
      <w:r>
        <w:rPr>
          <w:sz w:val="22"/>
        </w:rPr>
        <w:t>secure area of BGE’s Suppliers web site to obtain interval-metered</w:t>
      </w:r>
      <w:r>
        <w:fldChar w:fldCharType="begin"/>
      </w:r>
      <w:r>
        <w:rPr/>
        <w:instrText xml:space="preserve"> XE "interval-metered" </w:instrText>
      </w:r>
      <w:r>
        <w:rPr/>
        <w:fldChar w:fldCharType="separate"/>
      </w:r>
      <w:r>
        <w:rPr/>
      </w:r>
      <w:r>
        <w:rPr/>
        <w:fldChar w:fldCharType="end"/>
      </w:r>
      <w:r>
        <w:rPr>
          <w:sz w:val="22"/>
        </w:rPr>
        <w:t xml:space="preserve"> information for customers they have enrolled.  The Supplier’s password to access the secured areas of the Supplier web site will be forwarded in a separate letter within one business day of the Supplier’s acceptance letter.</w:t>
      </w:r>
    </w:p>
    <w:p>
      <w:pPr>
        <w:pStyle w:val="Normal"/>
        <w:numPr>
          <w:ilvl w:val="0"/>
          <w:numId w:val="34"/>
        </w:numPr>
        <w:tabs>
          <w:tab w:val="clear" w:pos="720"/>
          <w:tab w:val="left" w:pos="0" w:leader="none"/>
          <w:tab w:val="left" w:pos="1080" w:leader="none"/>
        </w:tabs>
        <w:ind w:hanging="360" w:start="1080" w:end="0"/>
        <w:jc w:val="both"/>
        <w:rPr>
          <w:sz w:val="22"/>
        </w:rPr>
      </w:pPr>
      <w:r>
        <w:rPr>
          <w:sz w:val="22"/>
        </w:rPr>
        <w:t>Banking information - BGE’s ABA</w:t>
      </w:r>
      <w:r>
        <w:fldChar w:fldCharType="begin"/>
      </w:r>
      <w:r>
        <w:rPr/>
        <w:instrText xml:space="preserve"> XE "BGE’s ABA" </w:instrText>
      </w:r>
      <w:r>
        <w:rPr/>
        <w:fldChar w:fldCharType="separate"/>
      </w:r>
      <w:r>
        <w:rPr/>
      </w:r>
      <w:r>
        <w:rPr/>
        <w:fldChar w:fldCharType="end"/>
      </w:r>
      <w:r>
        <w:rPr>
          <w:sz w:val="22"/>
        </w:rPr>
        <w:t xml:space="preserve"> (American Banking Association) Number, Bank Name, and Account Number (for ESP Consolidated Billing scenarios).</w:t>
      </w:r>
    </w:p>
    <w:p>
      <w:pPr>
        <w:pStyle w:val="Normal"/>
        <w:tabs>
          <w:tab w:val="clear" w:pos="720"/>
          <w:tab w:val="left" w:pos="1080" w:leader="none"/>
        </w:tabs>
        <w:jc w:val="both"/>
        <w:rPr>
          <w:b/>
          <w:sz w:val="22"/>
        </w:rPr>
      </w:pPr>
      <w:r>
        <w:rPr>
          <w:b/>
          <w:sz w:val="22"/>
        </w:rPr>
      </w:r>
    </w:p>
    <w:p>
      <w:pPr>
        <w:pStyle w:val="Heading3"/>
        <w:ind w:hanging="0" w:start="0"/>
        <w:rPr/>
      </w:pPr>
      <w:r>
        <w:rPr/>
        <w:t>CONTROL AREA SERVICES AND OBLIGATIONS</w:t>
      </w:r>
    </w:p>
    <w:p>
      <w:pPr>
        <w:pStyle w:val="BodyText3"/>
        <w:rPr>
          <w:sz w:val="22"/>
        </w:rPr>
      </w:pPr>
      <w:r>
        <w:rPr>
          <w:sz w:val="22"/>
        </w:rPr>
        <w:t>The Electricity Supplier is responsible for procuring those services provided by the PJM OI that are necessary for the delivery of Competitive Power Supply to its Customers.  In addition, the Electricity Supplier must satisfy all obligations that are imposed on a Load Serving Entity ("LSE"s) in the PJM Control Area.  The Electricity Supplier must make all necessary arrangements for scheduling the delivery of energy through the PJM OI.  BGE and the Electricity Supplier shall coordinate with the PJM OI to determine the magnitude and location of the Electricity Supplier's actual or projected load, as required by the PJM OI, for the purpose of calculating the appropriate firm transmission service reservation, unforced capacity obligation, or other requirements under the PJM Tariff, PJM Reliability Assurance Agreement or the tariff of any other applicable Control Area Operator.</w:t>
      </w:r>
    </w:p>
    <w:p>
      <w:pPr>
        <w:pStyle w:val="Normal"/>
        <w:tabs>
          <w:tab w:val="left" w:pos="720" w:leader="none"/>
          <w:tab w:val="left" w:pos="1080" w:leader="none"/>
        </w:tabs>
        <w:jc w:val="both"/>
        <w:rPr>
          <w:sz w:val="22"/>
        </w:rPr>
      </w:pPr>
      <w:r>
        <w:rPr>
          <w:sz w:val="22"/>
        </w:rPr>
      </w:r>
    </w:p>
    <w:p>
      <w:pPr>
        <w:pStyle w:val="Normal"/>
        <w:tabs>
          <w:tab w:val="left" w:pos="720" w:leader="none"/>
          <w:tab w:val="left" w:pos="1080" w:leader="none"/>
        </w:tabs>
        <w:jc w:val="both"/>
        <w:rPr>
          <w:sz w:val="22"/>
        </w:rPr>
      </w:pPr>
      <w:r>
        <w:rPr>
          <w:sz w:val="22"/>
        </w:rPr>
      </w:r>
    </w:p>
    <w:p>
      <w:pPr>
        <w:pStyle w:val="Heading2"/>
        <w:ind w:hanging="0" w:start="0"/>
        <w:jc w:val="both"/>
        <w:rPr>
          <w:sz w:val="28"/>
        </w:rPr>
      </w:pPr>
      <w:r>
        <w:rPr>
          <w:sz w:val="28"/>
        </w:rPr>
        <w:t>KEY MARKET COMPONENTS</w:t>
        <w:tab/>
      </w:r>
    </w:p>
    <w:p>
      <w:pPr>
        <w:pStyle w:val="Heading2"/>
        <w:ind w:hanging="0" w:start="0"/>
        <w:jc w:val="both"/>
        <w:rPr>
          <w:sz w:val="28"/>
        </w:rPr>
      </w:pPr>
      <w:r>
        <w:rPr>
          <w:sz w:val="28"/>
        </w:rPr>
      </w:r>
    </w:p>
    <w:p>
      <w:pPr>
        <w:pStyle w:val="Heading3"/>
        <w:ind w:hanging="0" w:start="0"/>
        <w:rPr/>
      </w:pPr>
      <w:r>
        <w:rPr/>
        <w:t>PRE-ENROLLMENT CUSTOMER INFORMATION</w:t>
      </w:r>
    </w:p>
    <w:p>
      <w:pPr>
        <w:pStyle w:val="BodyTextIndent3"/>
        <w:ind w:hanging="0" w:end="0"/>
        <w:rPr>
          <w:rFonts w:ascii="Arial Unicode MS" w:hAnsi="Arial Unicode MS" w:eastAsia="Arial Unicode MS" w:cs="Arial Unicode MS"/>
        </w:rPr>
      </w:pPr>
      <w:r>
        <w:rPr/>
        <w:t xml:space="preserve">A supplier, aggregator, broker, or other third party (a requestor) can request electric historical usage data for up to 12 months providing a Consumption Data Reporting Agreement is executed and submitted to BGE.   The requestor must obtain and hold on file written authorization from the customer for release of the usage data. </w:t>
      </w:r>
    </w:p>
    <w:p>
      <w:pPr>
        <w:pStyle w:val="Normal"/>
        <w:numPr>
          <w:ilvl w:val="0"/>
          <w:numId w:val="15"/>
        </w:numPr>
        <w:spacing w:before="100" w:after="100"/>
        <w:jc w:val="both"/>
        <w:rPr>
          <w:sz w:val="22"/>
        </w:rPr>
      </w:pPr>
      <w:r>
        <w:rPr>
          <w:sz w:val="22"/>
        </w:rPr>
        <w:t xml:space="preserve">Go to the </w:t>
      </w:r>
      <w:hyperlink r:id="rId6">
        <w:r>
          <w:rPr>
            <w:rStyle w:val="Hyperlink"/>
            <w:sz w:val="22"/>
          </w:rPr>
          <w:t>Forms and Agreements</w:t>
        </w:r>
      </w:hyperlink>
      <w:r>
        <w:rPr>
          <w:sz w:val="22"/>
        </w:rPr>
        <w:t xml:space="preserve"> section at the </w:t>
      </w:r>
      <w:hyperlink r:id="rId7">
        <w:r>
          <w:rPr>
            <w:rStyle w:val="Hyperlink"/>
            <w:sz w:val="22"/>
          </w:rPr>
          <w:t>http://supplier.bge.com/main/</w:t>
        </w:r>
      </w:hyperlink>
      <w:r>
        <w:rPr>
          <w:sz w:val="22"/>
        </w:rPr>
        <w:t xml:space="preserve"> website and download the "Consumption Data Reporting Agreement" or contact BGE’s Supplier Account Management Unit for a hard copy (410-234-6900).   The Consumption Data Reporting Agreement must be fully executed by the requestor and BGE </w:t>
      </w:r>
      <w:r>
        <w:rPr>
          <w:rStyle w:val="Strong"/>
          <w:sz w:val="22"/>
        </w:rPr>
        <w:t>prior to</w:t>
      </w:r>
      <w:r>
        <w:rPr>
          <w:sz w:val="22"/>
        </w:rPr>
        <w:t xml:space="preserve"> acceptance of any pre-enrollment historical usage requests. Instructions for completing the agreement are on the web site.</w:t>
      </w:r>
    </w:p>
    <w:p>
      <w:pPr>
        <w:pStyle w:val="Normal"/>
        <w:numPr>
          <w:ilvl w:val="0"/>
          <w:numId w:val="17"/>
        </w:numPr>
        <w:tabs>
          <w:tab w:val="clear" w:pos="720"/>
          <w:tab w:val="left" w:pos="1080" w:leader="none"/>
        </w:tabs>
        <w:spacing w:before="100" w:after="100"/>
        <w:ind w:hanging="360" w:start="1080" w:end="0"/>
        <w:jc w:val="both"/>
        <w:rPr>
          <w:sz w:val="22"/>
        </w:rPr>
      </w:pPr>
      <w:r>
        <w:rPr>
          <w:sz w:val="22"/>
        </w:rPr>
        <w:t xml:space="preserve">The requestor must submit to BGE Supplier Account Management </w:t>
      </w:r>
      <w:r>
        <w:rPr>
          <w:rStyle w:val="Strong"/>
          <w:sz w:val="22"/>
        </w:rPr>
        <w:t>two paper copies</w:t>
      </w:r>
      <w:r>
        <w:rPr>
          <w:sz w:val="22"/>
        </w:rPr>
        <w:t xml:space="preserve"> of the agreement </w:t>
      </w:r>
      <w:r>
        <w:rPr>
          <w:rStyle w:val="Strong"/>
          <w:sz w:val="22"/>
        </w:rPr>
        <w:t>with original signatures</w:t>
      </w:r>
      <w:r>
        <w:rPr>
          <w:sz w:val="22"/>
        </w:rPr>
        <w:t xml:space="preserve">. Submit to: </w:t>
      </w:r>
    </w:p>
    <w:p>
      <w:pPr>
        <w:pStyle w:val="BodyText2"/>
        <w:ind w:start="1080" w:end="0"/>
        <w:rPr>
          <w:sz w:val="22"/>
        </w:rPr>
      </w:pPr>
      <w:r>
        <w:rPr>
          <w:sz w:val="22"/>
        </w:rPr>
        <w:t>Baltimore Gas &amp; Electric Company</w:t>
        <w:br/>
        <w:t>Supplier Account Management</w:t>
        <w:br/>
        <w:t>39 West Lexington Street, Room 900</w:t>
        <w:br/>
        <w:t>Baltimore, Maryland 21201</w:t>
      </w:r>
    </w:p>
    <w:p>
      <w:pPr>
        <w:pStyle w:val="BodyText2"/>
        <w:ind w:start="1080" w:end="0"/>
        <w:rPr>
          <w:sz w:val="22"/>
        </w:rPr>
      </w:pPr>
      <w:r>
        <w:rPr>
          <w:sz w:val="22"/>
        </w:rPr>
      </w:r>
    </w:p>
    <w:p>
      <w:pPr>
        <w:pStyle w:val="BodyText3"/>
        <w:ind w:start="360" w:end="0"/>
        <w:rPr>
          <w:sz w:val="22"/>
        </w:rPr>
      </w:pPr>
      <w:r>
        <w:rPr>
          <w:sz w:val="22"/>
        </w:rPr>
        <w:t xml:space="preserve">BGE will review the forms for completeness, execute the two originals, and return one fully executed Consumption Data Reporting Agreement to the requestor. </w:t>
      </w:r>
    </w:p>
    <w:p>
      <w:pPr>
        <w:pStyle w:val="BodyText3"/>
        <w:ind w:start="360" w:end="0"/>
        <w:rPr>
          <w:sz w:val="22"/>
        </w:rPr>
      </w:pPr>
      <w:r>
        <w:rPr>
          <w:sz w:val="22"/>
        </w:rPr>
      </w:r>
    </w:p>
    <w:p>
      <w:pPr>
        <w:pStyle w:val="BodyText3"/>
        <w:numPr>
          <w:ilvl w:val="0"/>
          <w:numId w:val="52"/>
        </w:numPr>
        <w:rPr>
          <w:sz w:val="22"/>
        </w:rPr>
      </w:pPr>
      <w:r>
        <w:rPr>
          <w:sz w:val="22"/>
        </w:rPr>
        <w:t xml:space="preserve">Obtain written authorization from the customer allowing BGE to provide the requestor with their historical usage information.  BGE does not require a copy of the customer’s written authorization as part of the request for historical usage.   However,  the requestor must keep the customer’s written authorization on file as BGE can periodically request proof of a customer’s authorization. </w:t>
      </w:r>
    </w:p>
    <w:p>
      <w:pPr>
        <w:pStyle w:val="BodyText3"/>
        <w:rPr>
          <w:sz w:val="22"/>
        </w:rPr>
      </w:pPr>
      <w:r>
        <w:rPr>
          <w:sz w:val="22"/>
        </w:rPr>
      </w:r>
    </w:p>
    <w:p>
      <w:pPr>
        <w:pStyle w:val="Normal"/>
        <w:numPr>
          <w:ilvl w:val="0"/>
          <w:numId w:val="26"/>
        </w:numPr>
        <w:jc w:val="both"/>
        <w:rPr>
          <w:sz w:val="22"/>
        </w:rPr>
      </w:pPr>
      <w:r>
        <w:rPr>
          <w:sz w:val="22"/>
        </w:rPr>
        <w:t>Send BGE’s Supplier Account Management Unit a written (see address above) or electronic (</w:t>
      </w:r>
      <w:hyperlink r:id="rId8">
        <w:r>
          <w:rPr>
            <w:rStyle w:val="Hyperlink"/>
            <w:sz w:val="22"/>
          </w:rPr>
          <w:t>electric.supplier.relations@bge.com</w:t>
        </w:r>
      </w:hyperlink>
      <w:r>
        <w:rPr>
          <w:sz w:val="22"/>
        </w:rPr>
        <w:t xml:space="preserve">) request to provide historical usage information. </w:t>
      </w:r>
    </w:p>
    <w:p>
      <w:pPr>
        <w:pStyle w:val="Normal"/>
        <w:jc w:val="both"/>
        <w:rPr>
          <w:sz w:val="22"/>
        </w:rPr>
      </w:pPr>
      <w:r>
        <w:rPr>
          <w:sz w:val="22"/>
        </w:rPr>
      </w:r>
    </w:p>
    <w:p>
      <w:pPr>
        <w:pStyle w:val="Normal"/>
        <w:numPr>
          <w:ilvl w:val="0"/>
          <w:numId w:val="2"/>
        </w:numPr>
        <w:tabs>
          <w:tab w:val="clear" w:pos="720"/>
          <w:tab w:val="left" w:pos="-1170" w:leader="none"/>
        </w:tabs>
        <w:jc w:val="both"/>
        <w:rPr>
          <w:sz w:val="22"/>
        </w:rPr>
      </w:pPr>
      <w:r>
        <w:rPr>
          <w:sz w:val="22"/>
        </w:rPr>
        <w:t xml:space="preserve">All historical usage requests are based on BGE’s 10-digit customer account number.   Requestors must only provide the 10-digit BGE customer account number as specified.   The customer account number must include any leading zeroes.  Requests for up to nine accounts may be made in writing (by letter or fax) or electronically via e-mail.   Remember, only the 10-digit account number will be returned with each historical usage report.  Data will be for electric only. </w:t>
      </w:r>
    </w:p>
    <w:p>
      <w:pPr>
        <w:pStyle w:val="Normal"/>
        <w:jc w:val="both"/>
        <w:rPr>
          <w:sz w:val="22"/>
        </w:rPr>
      </w:pPr>
      <w:r>
        <w:rPr>
          <w:sz w:val="22"/>
        </w:rPr>
      </w:r>
    </w:p>
    <w:p>
      <w:pPr>
        <w:pStyle w:val="Normal"/>
        <w:numPr>
          <w:ilvl w:val="0"/>
          <w:numId w:val="3"/>
        </w:numPr>
        <w:tabs>
          <w:tab w:val="clear" w:pos="720"/>
          <w:tab w:val="left" w:pos="-990" w:leader="none"/>
        </w:tabs>
        <w:jc w:val="both"/>
        <w:rPr>
          <w:sz w:val="22"/>
        </w:rPr>
      </w:pPr>
      <w:r>
        <w:rPr>
          <w:sz w:val="22"/>
        </w:rPr>
        <w:t xml:space="preserve">For 10 or more accounts, the requestor must provide all of the BGE customer account numbers in electronic (e.g. a Microsoft Excel® spreadsheet) or ASCII format.  Again, the BGE account number must include 10 digits including any leading zeroes.  There should be no dashes ‘-‘ in the account number.  The accounts must be listed sequentially, with no blank rows between the account numbers. </w:t>
      </w:r>
      <w:r>
        <w:rPr>
          <w:b/>
          <w:sz w:val="22"/>
        </w:rPr>
        <w:t>The column of account numbers (column A) must be formatted as ‘text’ so that leading zeroes in the account numbers are not dropped</w:t>
      </w:r>
      <w:r>
        <w:rPr>
          <w:sz w:val="22"/>
        </w:rPr>
        <w:t xml:space="preserve">. </w:t>
      </w:r>
    </w:p>
    <w:p>
      <w:pPr>
        <w:pStyle w:val="Normal"/>
        <w:jc w:val="both"/>
        <w:rPr>
          <w:sz w:val="22"/>
        </w:rPr>
      </w:pPr>
      <w:r>
        <w:rPr>
          <w:sz w:val="22"/>
        </w:rPr>
      </w:r>
    </w:p>
    <w:p>
      <w:pPr>
        <w:pStyle w:val="Normal"/>
        <w:numPr>
          <w:ilvl w:val="0"/>
          <w:numId w:val="32"/>
        </w:numPr>
        <w:tabs>
          <w:tab w:val="clear" w:pos="720"/>
          <w:tab w:val="left" w:pos="-990" w:leader="none"/>
        </w:tabs>
        <w:jc w:val="both"/>
        <w:rPr>
          <w:sz w:val="22"/>
        </w:rPr>
      </w:pPr>
      <w:r>
        <w:rPr>
          <w:sz w:val="22"/>
        </w:rPr>
        <w:t xml:space="preserve">If the requestor wants interval data for accounts that are interval metered, the request and account information must be on a separate list.  Interval usage data is available only for those customers with interval recording devices (also known as pulse meters) attached to their meter.  These customers are typically served at primary voltage levels.  If interval data is not specifically requested, summary level data (the "Standard Historical Usage Report") will be provided. </w:t>
      </w:r>
    </w:p>
    <w:p>
      <w:pPr>
        <w:pStyle w:val="Normal"/>
        <w:jc w:val="both"/>
        <w:rPr>
          <w:sz w:val="22"/>
        </w:rPr>
      </w:pPr>
      <w:r>
        <w:rPr>
          <w:sz w:val="22"/>
        </w:rPr>
      </w:r>
    </w:p>
    <w:p>
      <w:pPr>
        <w:pStyle w:val="Normal"/>
        <w:numPr>
          <w:ilvl w:val="0"/>
          <w:numId w:val="18"/>
        </w:numPr>
        <w:tabs>
          <w:tab w:val="clear" w:pos="720"/>
          <w:tab w:val="left" w:pos="-990" w:leader="none"/>
        </w:tabs>
        <w:jc w:val="both"/>
        <w:rPr>
          <w:sz w:val="22"/>
        </w:rPr>
      </w:pPr>
      <w:r>
        <w:rPr>
          <w:sz w:val="22"/>
        </w:rPr>
        <w:t xml:space="preserve">If the requestor knows that the any of the accounts are manually billed accounts, these should also be listed on a separate list. </w:t>
      </w:r>
    </w:p>
    <w:p>
      <w:pPr>
        <w:pStyle w:val="Normal"/>
        <w:numPr>
          <w:ilvl w:val="0"/>
          <w:numId w:val="31"/>
        </w:numPr>
        <w:tabs>
          <w:tab w:val="clear" w:pos="720"/>
          <w:tab w:val="left" w:pos="1080" w:leader="none"/>
        </w:tabs>
        <w:ind w:hanging="360" w:start="1080" w:end="0"/>
        <w:jc w:val="both"/>
        <w:rPr>
          <w:sz w:val="22"/>
        </w:rPr>
      </w:pPr>
      <w:r>
        <w:rPr>
          <w:sz w:val="22"/>
        </w:rPr>
        <w:t xml:space="preserve">There are approximately 38 BGE electric accounts that are manually billed. </w:t>
      </w:r>
    </w:p>
    <w:p>
      <w:pPr>
        <w:pStyle w:val="Normal"/>
        <w:numPr>
          <w:ilvl w:val="0"/>
          <w:numId w:val="31"/>
        </w:numPr>
        <w:tabs>
          <w:tab w:val="clear" w:pos="720"/>
          <w:tab w:val="left" w:pos="1080" w:leader="none"/>
        </w:tabs>
        <w:ind w:hanging="360" w:start="1080" w:end="0"/>
        <w:jc w:val="both"/>
        <w:rPr>
          <w:sz w:val="22"/>
        </w:rPr>
      </w:pPr>
      <w:r>
        <w:rPr>
          <w:sz w:val="22"/>
        </w:rPr>
        <w:t xml:space="preserve">Supplier Account Management will send this type data back to the Requestor in an e-mail as a Microsoft Excel® spreadsheet. </w:t>
      </w:r>
    </w:p>
    <w:p>
      <w:pPr>
        <w:pStyle w:val="Normal"/>
        <w:numPr>
          <w:ilvl w:val="0"/>
          <w:numId w:val="42"/>
        </w:numPr>
        <w:tabs>
          <w:tab w:val="clear" w:pos="720"/>
          <w:tab w:val="left" w:pos="-990" w:leader="none"/>
        </w:tabs>
        <w:spacing w:before="100" w:after="100"/>
        <w:jc w:val="both"/>
        <w:rPr>
          <w:sz w:val="22"/>
        </w:rPr>
      </w:pPr>
      <w:r>
        <w:rPr>
          <w:sz w:val="22"/>
        </w:rPr>
        <w:t xml:space="preserve">Data requests for CIS and I&amp;C billed accounts are expected to be turned around within two business days, but high volume requests (greater than 100 accounts) and multiple requests may result in a longer turn around.  Interval data requests are expected to be turned around within two business days.  Manual account data requests are expected to be turned around within seven to eight business days. </w:t>
      </w:r>
    </w:p>
    <w:p>
      <w:pPr>
        <w:pStyle w:val="Normal"/>
        <w:numPr>
          <w:ilvl w:val="0"/>
          <w:numId w:val="8"/>
        </w:numPr>
        <w:spacing w:before="100" w:after="100"/>
        <w:jc w:val="both"/>
        <w:rPr>
          <w:sz w:val="22"/>
        </w:rPr>
      </w:pPr>
      <w:r>
        <w:rPr>
          <w:sz w:val="22"/>
        </w:rPr>
        <w:t xml:space="preserve">Supplier Account Management will send the usage data back to the requestor electronically as a Microsoft Excel® spreadsheet or as a comma delimited (.csv) file. </w:t>
      </w:r>
    </w:p>
    <w:tbl>
      <w:tblPr>
        <w:tblW w:w="9540" w:type="dxa"/>
        <w:jc w:val="start"/>
        <w:tblInd w:w="15" w:type="dxa"/>
        <w:tblLayout w:type="fixed"/>
        <w:tblCellMar>
          <w:top w:w="0" w:type="dxa"/>
          <w:start w:w="105" w:type="dxa"/>
          <w:bottom w:w="0" w:type="dxa"/>
          <w:end w:w="105" w:type="dxa"/>
        </w:tblCellMar>
      </w:tblPr>
      <w:tblGrid>
        <w:gridCol w:w="8340"/>
        <w:gridCol w:w="1200"/>
      </w:tblGrid>
      <w:tr>
        <w:trPr>
          <w:trHeight w:val="23" w:hRule="atLeast"/>
        </w:trPr>
        <w:tc>
          <w:tcPr>
            <w:tcW w:w="9540" w:type="dxa"/>
            <w:gridSpan w:val="2"/>
            <w:tcBorders/>
          </w:tcPr>
          <w:p>
            <w:pPr>
              <w:pStyle w:val="Normal"/>
              <w:numPr>
                <w:ilvl w:val="0"/>
                <w:numId w:val="8"/>
              </w:numPr>
              <w:tabs>
                <w:tab w:val="clear" w:pos="720"/>
                <w:tab w:val="left" w:pos="-1275" w:leader="none"/>
              </w:tabs>
              <w:ind w:hanging="360" w:start="345" w:end="0"/>
              <w:jc w:val="both"/>
              <w:rPr>
                <w:sz w:val="22"/>
              </w:rPr>
            </w:pPr>
            <w:r>
              <w:rPr>
                <w:sz w:val="22"/>
              </w:rPr>
              <w:t xml:space="preserve">The "Standard Historical Usage Report" will provide historical usage data for the last 12 months (less if the customer’s account has been active for less than 12 months.)   More than the last 12 months of historical usage data will not generally be available.   The information on the "Standard Historical Usage Report" includes: </w:t>
            </w:r>
          </w:p>
          <w:p>
            <w:pPr>
              <w:pStyle w:val="Normal"/>
              <w:numPr>
                <w:ilvl w:val="0"/>
                <w:numId w:val="46"/>
              </w:numPr>
              <w:tabs>
                <w:tab w:val="clear" w:pos="720"/>
              </w:tabs>
              <w:ind w:hanging="0" w:start="975" w:end="0"/>
              <w:jc w:val="both"/>
              <w:rPr>
                <w:sz w:val="22"/>
              </w:rPr>
            </w:pPr>
            <w:r>
              <w:rPr>
                <w:sz w:val="22"/>
              </w:rPr>
              <w:t xml:space="preserve">BGE’s 10-digit customer account number. </w:t>
            </w:r>
          </w:p>
          <w:p>
            <w:pPr>
              <w:pStyle w:val="Normal"/>
              <w:numPr>
                <w:ilvl w:val="0"/>
                <w:numId w:val="46"/>
              </w:numPr>
              <w:tabs>
                <w:tab w:val="clear" w:pos="720"/>
              </w:tabs>
              <w:ind w:hanging="0" w:start="975" w:end="0"/>
              <w:jc w:val="both"/>
              <w:rPr>
                <w:sz w:val="22"/>
              </w:rPr>
            </w:pPr>
            <w:r>
              <w:rPr>
                <w:sz w:val="22"/>
              </w:rPr>
              <w:t xml:space="preserve">Load profile customer segment and numeric tariff code. </w:t>
            </w:r>
          </w:p>
          <w:p>
            <w:pPr>
              <w:pStyle w:val="Normal"/>
              <w:numPr>
                <w:ilvl w:val="0"/>
                <w:numId w:val="46"/>
              </w:numPr>
              <w:tabs>
                <w:tab w:val="clear" w:pos="720"/>
              </w:tabs>
              <w:ind w:hanging="0" w:start="975" w:end="0"/>
              <w:jc w:val="both"/>
              <w:rPr>
                <w:sz w:val="22"/>
              </w:rPr>
            </w:pPr>
            <w:r>
              <w:rPr>
                <w:sz w:val="22"/>
              </w:rPr>
              <w:t xml:space="preserve">Capacity and Transmission Peak Load Contributions (PLC). </w:t>
            </w:r>
          </w:p>
          <w:p>
            <w:pPr>
              <w:pStyle w:val="Normal"/>
              <w:numPr>
                <w:ilvl w:val="0"/>
                <w:numId w:val="46"/>
              </w:numPr>
              <w:tabs>
                <w:tab w:val="clear" w:pos="720"/>
              </w:tabs>
              <w:ind w:hanging="0" w:start="975" w:end="0"/>
              <w:jc w:val="both"/>
              <w:rPr>
                <w:sz w:val="22"/>
              </w:rPr>
            </w:pPr>
            <w:r>
              <w:rPr>
                <w:sz w:val="22"/>
              </w:rPr>
              <w:t xml:space="preserve">Meter reading period (reading from date and reading to date). </w:t>
            </w:r>
          </w:p>
          <w:p>
            <w:pPr>
              <w:pStyle w:val="Normal"/>
              <w:numPr>
                <w:ilvl w:val="0"/>
                <w:numId w:val="46"/>
              </w:numPr>
              <w:tabs>
                <w:tab w:val="clear" w:pos="720"/>
              </w:tabs>
              <w:ind w:hanging="0" w:start="975" w:end="0"/>
              <w:jc w:val="both"/>
              <w:rPr>
                <w:sz w:val="22"/>
              </w:rPr>
            </w:pPr>
            <w:r>
              <w:rPr>
                <w:sz w:val="22"/>
              </w:rPr>
              <w:t xml:space="preserve">Actual or estimated reading source. </w:t>
            </w:r>
          </w:p>
          <w:p>
            <w:pPr>
              <w:pStyle w:val="Normal"/>
              <w:numPr>
                <w:ilvl w:val="0"/>
                <w:numId w:val="46"/>
              </w:numPr>
              <w:tabs>
                <w:tab w:val="clear" w:pos="720"/>
              </w:tabs>
              <w:ind w:hanging="0" w:start="975" w:end="0"/>
              <w:jc w:val="both"/>
              <w:rPr>
                <w:sz w:val="22"/>
              </w:rPr>
            </w:pPr>
            <w:r>
              <w:rPr>
                <w:sz w:val="22"/>
              </w:rPr>
              <w:t xml:space="preserve">Days Used </w:t>
            </w:r>
          </w:p>
          <w:p>
            <w:pPr>
              <w:pStyle w:val="Normal"/>
              <w:numPr>
                <w:ilvl w:val="0"/>
                <w:numId w:val="46"/>
              </w:numPr>
              <w:tabs>
                <w:tab w:val="clear" w:pos="720"/>
              </w:tabs>
              <w:ind w:hanging="450" w:start="1425" w:end="0"/>
              <w:jc w:val="both"/>
              <w:rPr>
                <w:sz w:val="22"/>
              </w:rPr>
            </w:pPr>
            <w:r>
              <w:rPr>
                <w:sz w:val="22"/>
              </w:rPr>
              <w:t xml:space="preserve">Total kWh for the meter reading period and, if applicable,  breakdown by rating period -- peak, intermediate-peak and off-peak. </w:t>
            </w:r>
          </w:p>
          <w:p>
            <w:pPr>
              <w:pStyle w:val="Normal"/>
              <w:numPr>
                <w:ilvl w:val="0"/>
                <w:numId w:val="46"/>
              </w:numPr>
              <w:tabs>
                <w:tab w:val="clear" w:pos="720"/>
              </w:tabs>
              <w:ind w:hanging="0" w:start="975" w:end="0"/>
              <w:jc w:val="both"/>
              <w:rPr>
                <w:sz w:val="22"/>
              </w:rPr>
            </w:pPr>
            <w:r>
              <w:rPr>
                <w:sz w:val="22"/>
              </w:rPr>
              <w:t xml:space="preserve">Seasonal crossover indicator. </w:t>
            </w:r>
          </w:p>
          <w:p>
            <w:pPr>
              <w:pStyle w:val="Normal"/>
              <w:numPr>
                <w:ilvl w:val="0"/>
                <w:numId w:val="46"/>
              </w:numPr>
              <w:tabs>
                <w:tab w:val="clear" w:pos="720"/>
                <w:tab w:val="left" w:pos="-465" w:leader="none"/>
                <w:tab w:val="left" w:pos="-285" w:leader="none"/>
              </w:tabs>
              <w:ind w:hanging="450" w:start="1425" w:end="0"/>
              <w:jc w:val="both"/>
              <w:rPr>
                <w:sz w:val="22"/>
              </w:rPr>
            </w:pPr>
            <w:r>
              <w:rPr>
                <w:sz w:val="22"/>
              </w:rPr>
              <w:t xml:space="preserve">Delivery Service Demand (maximum demand during any rating period) for the meter reading period in kW or kVA, if applicable. </w:t>
            </w:r>
          </w:p>
          <w:p>
            <w:pPr>
              <w:pStyle w:val="Normal"/>
              <w:numPr>
                <w:ilvl w:val="0"/>
                <w:numId w:val="22"/>
              </w:numPr>
              <w:tabs>
                <w:tab w:val="clear" w:pos="720"/>
                <w:tab w:val="left" w:pos="255" w:leader="none"/>
              </w:tabs>
              <w:ind w:hanging="450" w:start="1425" w:end="0"/>
              <w:jc w:val="both"/>
              <w:rPr>
                <w:sz w:val="22"/>
              </w:rPr>
            </w:pPr>
            <w:r>
              <w:rPr>
                <w:sz w:val="22"/>
              </w:rPr>
              <w:t xml:space="preserve">Generation and Transmission Demand (maximum demand during peak period) for the meter reading period in kW or kVA, if applicable. </w:t>
            </w:r>
          </w:p>
          <w:p>
            <w:pPr>
              <w:pStyle w:val="Normal"/>
              <w:numPr>
                <w:ilvl w:val="0"/>
                <w:numId w:val="20"/>
              </w:numPr>
              <w:tabs>
                <w:tab w:val="clear" w:pos="720"/>
                <w:tab w:val="left" w:pos="255" w:leader="none"/>
              </w:tabs>
              <w:ind w:hanging="450" w:start="1425" w:end="0"/>
              <w:jc w:val="both"/>
              <w:rPr>
                <w:rFonts w:ascii="Arial Unicode MS" w:hAnsi="Arial Unicode MS" w:eastAsia="Arial Unicode MS" w:cs="Arial Unicode MS"/>
                <w:sz w:val="22"/>
              </w:rPr>
            </w:pPr>
            <w:r>
              <w:rPr>
                <w:sz w:val="22"/>
              </w:rPr>
              <w:t xml:space="preserve">No dollar amount billed will be provided to Suppliers, aggregators, or third parties. Consumption data will only be provided. </w:t>
            </w:r>
          </w:p>
          <w:p>
            <w:pPr>
              <w:pStyle w:val="Normal"/>
              <w:numPr>
                <w:ilvl w:val="0"/>
                <w:numId w:val="10"/>
              </w:numPr>
              <w:spacing w:before="100" w:after="100"/>
              <w:ind w:hanging="360" w:start="345" w:end="0"/>
              <w:jc w:val="both"/>
              <w:rPr>
                <w:sz w:val="22"/>
              </w:rPr>
            </w:pPr>
            <w:r>
              <w:rPr>
                <w:sz w:val="22"/>
              </w:rPr>
              <w:t xml:space="preserve">For interval accounts, the data will be 15 minute integrated interval kW (kVA data will not be available).  To put the data on an hourly basis, multiple the figures by four.  The report will include: </w:t>
            </w:r>
          </w:p>
          <w:p>
            <w:pPr>
              <w:pStyle w:val="Normal"/>
              <w:numPr>
                <w:ilvl w:val="0"/>
                <w:numId w:val="35"/>
              </w:numPr>
              <w:tabs>
                <w:tab w:val="clear" w:pos="720"/>
                <w:tab w:val="left" w:pos="-915" w:leader="none"/>
              </w:tabs>
              <w:ind w:hanging="360" w:start="1335" w:end="0"/>
              <w:jc w:val="both"/>
              <w:rPr>
                <w:sz w:val="22"/>
              </w:rPr>
            </w:pPr>
            <w:r>
              <w:rPr>
                <w:sz w:val="22"/>
              </w:rPr>
              <w:t xml:space="preserve">BGE’s 10-digit account number with dashes removed </w:t>
            </w:r>
          </w:p>
          <w:p>
            <w:pPr>
              <w:pStyle w:val="Normal"/>
              <w:numPr>
                <w:ilvl w:val="0"/>
                <w:numId w:val="35"/>
              </w:numPr>
              <w:tabs>
                <w:tab w:val="clear" w:pos="720"/>
                <w:tab w:val="left" w:pos="-915" w:leader="none"/>
              </w:tabs>
              <w:ind w:hanging="360" w:start="1335" w:end="0"/>
              <w:jc w:val="both"/>
              <w:rPr>
                <w:sz w:val="22"/>
              </w:rPr>
            </w:pPr>
            <w:r>
              <w:rPr>
                <w:sz w:val="22"/>
              </w:rPr>
              <w:t>The customer’s name as it appears on the customer’s bill</w:t>
            </w:r>
          </w:p>
          <w:p>
            <w:pPr>
              <w:pStyle w:val="Normal"/>
              <w:numPr>
                <w:ilvl w:val="0"/>
                <w:numId w:val="35"/>
              </w:numPr>
              <w:tabs>
                <w:tab w:val="clear" w:pos="720"/>
                <w:tab w:val="left" w:pos="-915" w:leader="none"/>
              </w:tabs>
              <w:ind w:hanging="360" w:start="1335" w:end="0"/>
              <w:jc w:val="both"/>
              <w:rPr>
                <w:sz w:val="22"/>
              </w:rPr>
            </w:pPr>
            <w:r>
              <w:rPr>
                <w:sz w:val="22"/>
              </w:rPr>
              <w:t xml:space="preserve">Interval Date – format is YYYYMMDD </w:t>
            </w:r>
          </w:p>
          <w:p>
            <w:pPr>
              <w:pStyle w:val="Normal"/>
              <w:numPr>
                <w:ilvl w:val="0"/>
                <w:numId w:val="35"/>
              </w:numPr>
              <w:tabs>
                <w:tab w:val="clear" w:pos="720"/>
                <w:tab w:val="left" w:pos="-915" w:leader="none"/>
              </w:tabs>
              <w:ind w:hanging="360" w:start="1335" w:end="0"/>
              <w:jc w:val="both"/>
              <w:rPr>
                <w:sz w:val="22"/>
              </w:rPr>
            </w:pPr>
            <w:r>
              <w:rPr>
                <w:sz w:val="22"/>
              </w:rPr>
              <w:t>Interval Time – time stamp for measured interval – HHMM</w:t>
            </w:r>
          </w:p>
          <w:p>
            <w:pPr>
              <w:pStyle w:val="Normal"/>
              <w:numPr>
                <w:ilvl w:val="0"/>
                <w:numId w:val="35"/>
              </w:numPr>
              <w:tabs>
                <w:tab w:val="clear" w:pos="720"/>
                <w:tab w:val="left" w:pos="-915" w:leader="none"/>
              </w:tabs>
              <w:ind w:hanging="360" w:start="1335" w:end="0"/>
              <w:jc w:val="both"/>
              <w:rPr>
                <w:sz w:val="22"/>
              </w:rPr>
            </w:pPr>
            <w:r>
              <w:rPr>
                <w:sz w:val="22"/>
              </w:rPr>
              <w:t xml:space="preserve">Quantity – quantity of consumption of interval period </w:t>
            </w:r>
          </w:p>
          <w:p>
            <w:pPr>
              <w:pStyle w:val="Normal"/>
              <w:numPr>
                <w:ilvl w:val="0"/>
                <w:numId w:val="35"/>
              </w:numPr>
              <w:tabs>
                <w:tab w:val="clear" w:pos="720"/>
                <w:tab w:val="left" w:pos="-915" w:leader="none"/>
              </w:tabs>
              <w:ind w:hanging="360" w:start="1335" w:end="0"/>
              <w:jc w:val="both"/>
              <w:rPr>
                <w:sz w:val="22"/>
              </w:rPr>
            </w:pPr>
            <w:r>
              <w:rPr>
                <w:sz w:val="22"/>
              </w:rPr>
              <w:t xml:space="preserve">Unit of Measure – unit of measure, always kW </w:t>
            </w:r>
          </w:p>
          <w:p>
            <w:pPr>
              <w:pStyle w:val="Normal"/>
              <w:numPr>
                <w:ilvl w:val="0"/>
                <w:numId w:val="35"/>
              </w:numPr>
              <w:tabs>
                <w:tab w:val="clear" w:pos="720"/>
                <w:tab w:val="left" w:pos="-915" w:leader="none"/>
              </w:tabs>
              <w:ind w:hanging="360" w:start="1335" w:end="0"/>
              <w:jc w:val="both"/>
              <w:rPr>
                <w:sz w:val="22"/>
              </w:rPr>
            </w:pPr>
            <w:r>
              <w:rPr>
                <w:sz w:val="22"/>
              </w:rPr>
              <w:t>Quantity Qualifier – QD = actual, KA = estimated</w:t>
            </w:r>
          </w:p>
          <w:p>
            <w:pPr>
              <w:pStyle w:val="Normal"/>
              <w:jc w:val="both"/>
              <w:rPr>
                <w:sz w:val="22"/>
              </w:rPr>
            </w:pPr>
            <w:r>
              <w:rPr>
                <w:sz w:val="22"/>
              </w:rPr>
            </w:r>
          </w:p>
          <w:p>
            <w:pPr>
              <w:pStyle w:val="Normal"/>
              <w:numPr>
                <w:ilvl w:val="0"/>
                <w:numId w:val="10"/>
              </w:numPr>
              <w:ind w:hanging="360" w:start="345" w:end="0"/>
              <w:jc w:val="both"/>
              <w:rPr>
                <w:sz w:val="22"/>
              </w:rPr>
            </w:pPr>
            <w:r>
              <w:rPr>
                <w:sz w:val="22"/>
              </w:rPr>
              <w:t>The interval data file(s) – one file for each account requested – will be attached to an e-mail and forwarded to the requestor.  The files will be sent as a comma delimited (.csv) file.  Included with the e-mail will be the field information from the table above.  Due to the size of the files, multiple emails may be required to send the information to the requestor.</w:t>
            </w:r>
          </w:p>
          <w:p>
            <w:pPr>
              <w:pStyle w:val="Normal"/>
              <w:jc w:val="both"/>
              <w:rPr>
                <w:rFonts w:eastAsia="Arial Unicode MS"/>
                <w:sz w:val="22"/>
              </w:rPr>
            </w:pPr>
            <w:r>
              <w:rPr>
                <w:rFonts w:eastAsia="Arial Unicode MS"/>
                <w:sz w:val="22"/>
              </w:rPr>
            </w:r>
          </w:p>
        </w:tc>
      </w:tr>
      <w:tr>
        <w:trPr>
          <w:trHeight w:val="23" w:hRule="atLeast"/>
        </w:trPr>
        <w:tc>
          <w:tcPr>
            <w:tcW w:w="8340" w:type="dxa"/>
            <w:tcBorders/>
          </w:tcPr>
          <w:p>
            <w:pPr>
              <w:pStyle w:val="Normal"/>
              <w:snapToGrid w:val="false"/>
              <w:jc w:val="both"/>
              <w:rPr>
                <w:rFonts w:eastAsia="Arial Unicode MS"/>
                <w:sz w:val="22"/>
              </w:rPr>
            </w:pPr>
            <w:r>
              <w:rPr>
                <w:rFonts w:eastAsia="Arial Unicode MS"/>
                <w:sz w:val="22"/>
              </w:rPr>
            </w:r>
          </w:p>
        </w:tc>
        <w:tc>
          <w:tcPr>
            <w:tcW w:w="1200" w:type="dxa"/>
            <w:tcBorders/>
            <w:tcMar>
              <w:start w:w="0" w:type="dxa"/>
              <w:end w:w="0" w:type="dxa"/>
            </w:tcMar>
          </w:tcPr>
          <w:p>
            <w:pPr>
              <w:pStyle w:val="Normal"/>
              <w:snapToGrid w:val="false"/>
              <w:rPr/>
            </w:pPr>
            <w:r>
              <w:rPr/>
            </w:r>
          </w:p>
        </w:tc>
      </w:tr>
    </w:tbl>
    <w:p>
      <w:pPr>
        <w:pStyle w:val="Heading3"/>
        <w:ind w:hanging="0" w:start="0"/>
        <w:rPr/>
      </w:pPr>
      <w:r>
        <w:rPr/>
        <w:t>CUSTOMER ENROLLMENT</w:t>
      </w:r>
    </w:p>
    <w:p>
      <w:pPr>
        <w:pStyle w:val="BodyText3"/>
        <w:rPr>
          <w:sz w:val="22"/>
        </w:rPr>
      </w:pPr>
      <w:r>
        <w:rPr>
          <w:sz w:val="22"/>
        </w:rPr>
        <w:t>The Electricity Supplier must notify its Customers that by signing up for Competitive Power Supply with the Electricity Supplier, the Customer is consenting to the disclosure by BGE to the Electricity Supplier of certain basic information about the Customer.  At a minimum, the notice shall inform the Customer that the following information will be disclosed: the Customer's Company account number, data about meter readings, rate class and electric usage, the Customer's name, address(es) and telephone number, or as otherwise may be consistent with Commission rulings.</w:t>
      </w:r>
    </w:p>
    <w:p>
      <w:pPr>
        <w:pStyle w:val="Normal"/>
        <w:tabs>
          <w:tab w:val="left" w:pos="720" w:leader="none"/>
        </w:tabs>
        <w:ind w:start="360" w:end="0"/>
        <w:jc w:val="both"/>
        <w:rPr>
          <w:sz w:val="22"/>
        </w:rPr>
      </w:pPr>
      <w:r>
        <w:rPr>
          <w:sz w:val="22"/>
        </w:rPr>
      </w:r>
    </w:p>
    <w:p>
      <w:pPr>
        <w:pStyle w:val="Normal"/>
        <w:numPr>
          <w:ilvl w:val="0"/>
          <w:numId w:val="23"/>
        </w:numPr>
        <w:tabs>
          <w:tab w:val="clear" w:pos="720"/>
          <w:tab w:val="left" w:pos="-90" w:leader="none"/>
        </w:tabs>
        <w:jc w:val="both"/>
        <w:rPr>
          <w:sz w:val="22"/>
        </w:rPr>
      </w:pPr>
      <w:r>
        <w:rPr>
          <w:sz w:val="22"/>
        </w:rPr>
        <w:t>In order to initiate Competitive Power Supply, the Electricity Supplier will obtain appropriate written authorization from the Customer, or from the person authorized to act on the Customer's behalf, indicating the Customer's choice of the Electricity Supplier in accordance with the rules and regulations of the Commission.</w:t>
      </w:r>
    </w:p>
    <w:p>
      <w:pPr>
        <w:pStyle w:val="Normal"/>
        <w:ind w:start="360" w:end="0"/>
        <w:jc w:val="both"/>
        <w:rPr>
          <w:sz w:val="22"/>
        </w:rPr>
      </w:pPr>
      <w:r>
        <w:rPr>
          <w:sz w:val="22"/>
        </w:rPr>
      </w:r>
    </w:p>
    <w:p>
      <w:pPr>
        <w:pStyle w:val="Normal"/>
        <w:numPr>
          <w:ilvl w:val="0"/>
          <w:numId w:val="23"/>
        </w:numPr>
        <w:jc w:val="both"/>
        <w:rPr>
          <w:sz w:val="22"/>
        </w:rPr>
      </w:pPr>
      <w:r>
        <w:rPr>
          <w:sz w:val="22"/>
        </w:rPr>
        <w:t xml:space="preserve">It is the Electricity Supplier's responsibility to maintain records of the Customer's authorization in the event of a dispute, in order to provide documented evidence of authorization to BGE or the Commission.  </w:t>
      </w:r>
    </w:p>
    <w:p>
      <w:pPr>
        <w:pStyle w:val="Normal"/>
        <w:ind w:start="360" w:end="0"/>
        <w:jc w:val="both"/>
        <w:rPr>
          <w:sz w:val="22"/>
        </w:rPr>
      </w:pPr>
      <w:r>
        <w:rPr>
          <w:sz w:val="22"/>
        </w:rPr>
      </w:r>
    </w:p>
    <w:p>
      <w:pPr>
        <w:pStyle w:val="Normal"/>
        <w:numPr>
          <w:ilvl w:val="0"/>
          <w:numId w:val="23"/>
        </w:numPr>
        <w:jc w:val="both"/>
        <w:rPr>
          <w:sz w:val="22"/>
        </w:rPr>
      </w:pPr>
      <w:r>
        <w:rPr>
          <w:sz w:val="22"/>
        </w:rPr>
        <w:t>The Electricity Supplier shall provide an electronic file to BGE, containing information in accordance with the procedures established by the Commission.  Upon receipt of the electronic file from the Electricity Supplier, BGE will confirm receipt of the file.  Within one Business Day of receipt of the electronic file BGE will validate the records contained in the file, and will provide an electronic validation, including the reason for any rejections (e.g., invalid account number), and any information the Electricity Supplier can use to identify rejected records.</w:t>
      </w:r>
    </w:p>
    <w:p>
      <w:pPr>
        <w:pStyle w:val="Normal"/>
        <w:ind w:start="360" w:end="0"/>
        <w:jc w:val="both"/>
        <w:rPr>
          <w:sz w:val="22"/>
        </w:rPr>
      </w:pPr>
      <w:r>
        <w:rPr>
          <w:sz w:val="22"/>
        </w:rPr>
      </w:r>
    </w:p>
    <w:p>
      <w:pPr>
        <w:pStyle w:val="Normal"/>
        <w:numPr>
          <w:ilvl w:val="0"/>
          <w:numId w:val="23"/>
        </w:numPr>
        <w:jc w:val="both"/>
        <w:rPr>
          <w:sz w:val="22"/>
        </w:rPr>
      </w:pPr>
      <w:r>
        <w:rPr>
          <w:sz w:val="22"/>
        </w:rPr>
        <w:t>Enrollment transactions must be received at least 17 days prior to the Customer’s next scheduled Meter Read Date to be effective on that Meter Read Date.  Enrollment transactions received less than 17</w:t>
      </w:r>
      <w:r>
        <w:rPr>
          <w:b/>
          <w:sz w:val="22"/>
        </w:rPr>
        <w:t xml:space="preserve"> </w:t>
      </w:r>
      <w:r>
        <w:rPr>
          <w:sz w:val="22"/>
        </w:rPr>
        <w:t xml:space="preserve">days prior to the Customer’s next scheduled Meter Read Date will be effective on the Customer’s subsequent Meter Read Date. </w:t>
      </w:r>
    </w:p>
    <w:p>
      <w:pPr>
        <w:pStyle w:val="Normal"/>
        <w:ind w:start="360" w:end="0"/>
        <w:jc w:val="both"/>
        <w:rPr>
          <w:sz w:val="22"/>
        </w:rPr>
      </w:pPr>
      <w:r>
        <w:rPr>
          <w:sz w:val="22"/>
        </w:rPr>
      </w:r>
    </w:p>
    <w:p>
      <w:pPr>
        <w:pStyle w:val="Normal"/>
        <w:numPr>
          <w:ilvl w:val="0"/>
          <w:numId w:val="23"/>
        </w:numPr>
        <w:jc w:val="both"/>
        <w:rPr>
          <w:sz w:val="22"/>
        </w:rPr>
      </w:pPr>
      <w:r>
        <w:rPr>
          <w:sz w:val="22"/>
        </w:rPr>
        <w:t>If BGE reads the customer’s meter up to 3 days before or up to 15 days after the scheduled meter reading</w:t>
      </w:r>
      <w:r>
        <w:fldChar w:fldCharType="begin"/>
      </w:r>
      <w:r>
        <w:rPr/>
        <w:instrText xml:space="preserve"> XE "meter reading" </w:instrText>
      </w:r>
      <w:r>
        <w:rPr/>
        <w:fldChar w:fldCharType="separate"/>
      </w:r>
      <w:r>
        <w:rPr/>
      </w:r>
      <w:r>
        <w:rPr/>
        <w:fldChar w:fldCharType="end"/>
      </w:r>
      <w:r>
        <w:rPr>
          <w:sz w:val="22"/>
        </w:rPr>
        <w:t xml:space="preserve"> date, BGE will modify the customer’s effective date to reflect the actual reading.   If the reading is taken more than 15 days after the scheduled reading date, BGE will pro-rate the reading and the usage back to the scheduled meter reading date.</w:t>
      </w:r>
    </w:p>
    <w:p>
      <w:pPr>
        <w:pStyle w:val="Normal"/>
        <w:ind w:start="360" w:end="0"/>
        <w:jc w:val="both"/>
        <w:rPr>
          <w:sz w:val="22"/>
        </w:rPr>
      </w:pPr>
      <w:r>
        <w:rPr>
          <w:sz w:val="22"/>
        </w:rPr>
      </w:r>
    </w:p>
    <w:p>
      <w:pPr>
        <w:pStyle w:val="Normal"/>
        <w:numPr>
          <w:ilvl w:val="0"/>
          <w:numId w:val="23"/>
        </w:numPr>
        <w:jc w:val="both"/>
        <w:rPr>
          <w:sz w:val="22"/>
        </w:rPr>
      </w:pPr>
      <w:r>
        <w:rPr>
          <w:sz w:val="22"/>
        </w:rPr>
        <w:t>Only one switch request will be processed per billing cycle.</w:t>
      </w:r>
    </w:p>
    <w:p>
      <w:pPr>
        <w:pStyle w:val="Normal"/>
        <w:ind w:start="360" w:end="0"/>
        <w:jc w:val="both"/>
        <w:rPr>
          <w:sz w:val="22"/>
        </w:rPr>
      </w:pPr>
      <w:r>
        <w:rPr>
          <w:sz w:val="22"/>
        </w:rPr>
      </w:r>
    </w:p>
    <w:p>
      <w:pPr>
        <w:pStyle w:val="Normal"/>
        <w:numPr>
          <w:ilvl w:val="0"/>
          <w:numId w:val="23"/>
        </w:numPr>
        <w:jc w:val="both"/>
        <w:rPr>
          <w:sz w:val="22"/>
        </w:rPr>
      </w:pPr>
      <w:r>
        <w:rPr>
          <w:sz w:val="22"/>
        </w:rPr>
        <w:t xml:space="preserve">When multiple enrollments come in for the same customer account with the same effective date, BGE will honor the last enrollment transaction initiated during the enrollment cycle.  This is known as </w:t>
      </w:r>
      <w:r>
        <w:rPr>
          <w:b/>
          <w:sz w:val="22"/>
        </w:rPr>
        <w:t>“Last In”</w:t>
      </w:r>
      <w:r>
        <w:rPr>
          <w:sz w:val="22"/>
        </w:rPr>
        <w:t>.</w:t>
      </w:r>
    </w:p>
    <w:p>
      <w:pPr>
        <w:pStyle w:val="Normal"/>
        <w:ind w:start="360" w:end="0"/>
        <w:jc w:val="both"/>
        <w:rPr>
          <w:sz w:val="22"/>
        </w:rPr>
      </w:pPr>
      <w:r>
        <w:rPr>
          <w:sz w:val="22"/>
        </w:rPr>
      </w:r>
    </w:p>
    <w:p>
      <w:pPr>
        <w:pStyle w:val="Normal"/>
        <w:numPr>
          <w:ilvl w:val="0"/>
          <w:numId w:val="23"/>
        </w:numPr>
        <w:jc w:val="both"/>
        <w:rPr>
          <w:sz w:val="22"/>
        </w:rPr>
      </w:pPr>
      <w:r>
        <w:rPr>
          <w:sz w:val="22"/>
        </w:rPr>
        <w:t>The enrollment request for accounts with interval-metered services will default to detail data.  This means the Supplier will receive monthly usage via the 867 and will have access to interval data via the Interval Load Data link on the Supplier website.</w:t>
      </w:r>
    </w:p>
    <w:p>
      <w:pPr>
        <w:pStyle w:val="FootnoteText"/>
        <w:ind w:start="360" w:end="0"/>
        <w:jc w:val="both"/>
        <w:rPr>
          <w:sz w:val="22"/>
        </w:rPr>
      </w:pPr>
      <w:r>
        <w:rPr>
          <w:sz w:val="22"/>
        </w:rPr>
      </w:r>
    </w:p>
    <w:p>
      <w:pPr>
        <w:pStyle w:val="Normal"/>
        <w:numPr>
          <w:ilvl w:val="0"/>
          <w:numId w:val="23"/>
        </w:numPr>
        <w:jc w:val="both"/>
        <w:rPr>
          <w:sz w:val="22"/>
        </w:rPr>
      </w:pPr>
      <w:r>
        <w:rPr>
          <w:sz w:val="22"/>
        </w:rPr>
        <w:t>Customers must accept Standard Offer Service for the first billing cycle after moving into a new address.</w:t>
      </w:r>
    </w:p>
    <w:p>
      <w:pPr>
        <w:pStyle w:val="Normal"/>
        <w:ind w:start="360" w:end="0"/>
        <w:jc w:val="both"/>
        <w:rPr>
          <w:sz w:val="22"/>
        </w:rPr>
      </w:pPr>
      <w:r>
        <w:rPr>
          <w:sz w:val="22"/>
        </w:rPr>
      </w:r>
    </w:p>
    <w:p>
      <w:pPr>
        <w:pStyle w:val="Normal"/>
        <w:numPr>
          <w:ilvl w:val="0"/>
          <w:numId w:val="23"/>
        </w:numPr>
        <w:jc w:val="both"/>
        <w:rPr>
          <w:b/>
          <w:sz w:val="22"/>
        </w:rPr>
      </w:pPr>
      <w:r>
        <w:rPr>
          <w:sz w:val="22"/>
        </w:rPr>
        <w:t xml:space="preserve">Within two Business Days of receiving an enrollment change, BGE will send a confirmation letter informing each Customer that the Customer’s current Electricity Supplier is being changed.  Included in this letter shall be notification of a rescission period in which the Customer may cancel its selection of the new Electricity Supplier.  The rescission period shall be 10 days and shall commence upon BGE’s receipt of the electronic file from the Electricity Supplier.  The confirmation letter shall include the Customer's name, address, Company account number, identity of the selected Electricity Supplier, scheduled service effective date, and scheduled initial billing date.  If the rescission period expires, and the Customer has not contacted BGE to rescind the Electricity Supplier selection, the selected Electricity Supplier will become the Electricity Supplier of record on the Customer’s next or subsequent Meter Read Date (in accordance with the 17-day provision above).  If the Customer elects to rescind its Electricity Supplier selection, BGE will notify the rejected new Electricity Supplier electronically.  </w:t>
      </w:r>
    </w:p>
    <w:p>
      <w:pPr>
        <w:pStyle w:val="Normal"/>
        <w:jc w:val="both"/>
        <w:rPr>
          <w:b/>
          <w:sz w:val="22"/>
          <w:u w:val="single"/>
        </w:rPr>
      </w:pPr>
      <w:r>
        <w:rPr>
          <w:b/>
          <w:sz w:val="22"/>
          <w:u w:val="single"/>
        </w:rPr>
      </w:r>
    </w:p>
    <w:p>
      <w:pPr>
        <w:pStyle w:val="Heading3"/>
        <w:ind w:hanging="0" w:start="0"/>
        <w:rPr>
          <w:sz w:val="22"/>
        </w:rPr>
      </w:pPr>
      <w:r>
        <w:rPr>
          <w:sz w:val="22"/>
        </w:rPr>
        <w:t xml:space="preserve">METERING </w:t>
      </w:r>
    </w:p>
    <w:p>
      <w:pPr>
        <w:pStyle w:val="BodyText3"/>
        <w:rPr>
          <w:sz w:val="22"/>
        </w:rPr>
      </w:pPr>
      <w:r>
        <w:rPr>
          <w:sz w:val="22"/>
        </w:rPr>
        <w:t>Competitive metering shall commence on January 1, 2002 for customers with hourly demand meters greater than 1500 kW and on April 1, 2002 for all other customers.</w:t>
      </w:r>
    </w:p>
    <w:p>
      <w:pPr>
        <w:pStyle w:val="FootnoteText"/>
        <w:ind w:start="360" w:end="0"/>
        <w:jc w:val="both"/>
        <w:rPr>
          <w:sz w:val="22"/>
        </w:rPr>
      </w:pPr>
      <w:r>
        <w:rPr>
          <w:sz w:val="22"/>
        </w:rPr>
        <w:t xml:space="preserve"> </w:t>
      </w:r>
    </w:p>
    <w:p>
      <w:pPr>
        <w:pStyle w:val="Normal"/>
        <w:numPr>
          <w:ilvl w:val="0"/>
          <w:numId w:val="49"/>
        </w:numPr>
        <w:jc w:val="both"/>
        <w:rPr>
          <w:sz w:val="22"/>
        </w:rPr>
      </w:pPr>
      <w:r>
        <w:rPr>
          <w:sz w:val="22"/>
        </w:rPr>
        <w:t xml:space="preserve">BGE shall provide Standard Metering Services and company-owned electric metering equipment. </w:t>
      </w:r>
    </w:p>
    <w:p>
      <w:pPr>
        <w:pStyle w:val="FootnoteText"/>
        <w:ind w:start="360" w:end="0"/>
        <w:jc w:val="both"/>
        <w:rPr>
          <w:sz w:val="22"/>
        </w:rPr>
      </w:pPr>
      <w:r>
        <w:rPr>
          <w:sz w:val="22"/>
        </w:rPr>
      </w:r>
    </w:p>
    <w:p>
      <w:pPr>
        <w:pStyle w:val="Normal"/>
        <w:numPr>
          <w:ilvl w:val="0"/>
          <w:numId w:val="49"/>
        </w:numPr>
        <w:jc w:val="both"/>
        <w:rPr>
          <w:sz w:val="22"/>
        </w:rPr>
      </w:pPr>
      <w:r>
        <w:rPr>
          <w:sz w:val="22"/>
        </w:rPr>
        <w:t>Until April 1, 2002, all non-residential customers with an annual maximum demand of 500 kW or more shall have the right to have advanced metering installed at their facility. The third party supplier or the customer will pay for any such meter and any associated telecommunication expense. The customer shall own any such meter unless the supplier and customer agree otherwise. BGE will install any such meter at no cost on a one-time basis.  BGE shall have access to billing data on a timely basis and shall provide access to such billing data on a timely basis to customers (or their designated supplier with prior customer approval.)</w:t>
      </w:r>
    </w:p>
    <w:p>
      <w:pPr>
        <w:pStyle w:val="Normal"/>
        <w:ind w:start="360" w:end="0"/>
        <w:jc w:val="both"/>
        <w:rPr>
          <w:sz w:val="22"/>
        </w:rPr>
      </w:pPr>
      <w:r>
        <w:rPr>
          <w:sz w:val="22"/>
        </w:rPr>
      </w:r>
    </w:p>
    <w:p>
      <w:pPr>
        <w:pStyle w:val="Normal"/>
        <w:numPr>
          <w:ilvl w:val="0"/>
          <w:numId w:val="49"/>
        </w:numPr>
        <w:jc w:val="both"/>
        <w:rPr>
          <w:sz w:val="22"/>
        </w:rPr>
      </w:pPr>
      <w:r>
        <w:rPr>
          <w:sz w:val="22"/>
        </w:rPr>
        <w:t xml:space="preserve">In the event an actual meter reading cannot be obtained, BGE shall estimate the Customer’s consumption for billing purposes for the applicable period in accordance with its Retail Electric Service Tariff and with Commission regulations.  BGE will normally provide the Electricity Supplier with actual or estimated meter read data within 72 hours of the Meter Read Date.  </w:t>
      </w:r>
    </w:p>
    <w:p>
      <w:pPr>
        <w:pStyle w:val="Normal"/>
        <w:ind w:start="360" w:end="0"/>
        <w:jc w:val="both"/>
        <w:rPr>
          <w:sz w:val="22"/>
        </w:rPr>
      </w:pPr>
      <w:r>
        <w:rPr>
          <w:sz w:val="22"/>
        </w:rPr>
      </w:r>
    </w:p>
    <w:p>
      <w:pPr>
        <w:pStyle w:val="Normal"/>
        <w:numPr>
          <w:ilvl w:val="0"/>
          <w:numId w:val="5"/>
        </w:numPr>
        <w:jc w:val="both"/>
        <w:rPr>
          <w:sz w:val="22"/>
        </w:rPr>
      </w:pPr>
      <w:r>
        <w:rPr>
          <w:sz w:val="22"/>
        </w:rPr>
        <w:t>BGE has 21-meter reading</w:t>
      </w:r>
      <w:r>
        <w:fldChar w:fldCharType="begin"/>
      </w:r>
      <w:r>
        <w:rPr/>
        <w:instrText xml:space="preserve"> XE "meter reading" </w:instrText>
      </w:r>
      <w:r>
        <w:rPr/>
        <w:fldChar w:fldCharType="separate"/>
      </w:r>
      <w:r>
        <w:rPr/>
      </w:r>
      <w:r>
        <w:rPr/>
        <w:fldChar w:fldCharType="end"/>
      </w:r>
      <w:r>
        <w:rPr>
          <w:sz w:val="22"/>
        </w:rPr>
        <w:t xml:space="preserve"> groups. (The Meter Reading</w:t>
      </w:r>
      <w:r>
        <w:fldChar w:fldCharType="begin"/>
      </w:r>
      <w:r>
        <w:rPr/>
        <w:instrText xml:space="preserve"> XE "Meter Reading" </w:instrText>
      </w:r>
      <w:r>
        <w:rPr/>
        <w:fldChar w:fldCharType="separate"/>
      </w:r>
      <w:r>
        <w:rPr/>
      </w:r>
      <w:r>
        <w:rPr/>
        <w:fldChar w:fldCharType="end"/>
      </w:r>
      <w:r>
        <w:rPr>
          <w:sz w:val="22"/>
        </w:rPr>
        <w:t xml:space="preserve"> Schedule is located on the Supplier’s web site under the link “Meter Reading &amp; Bill Schedules.”)</w:t>
      </w:r>
    </w:p>
    <w:p>
      <w:pPr>
        <w:pStyle w:val="FootnoteText"/>
        <w:ind w:start="360" w:end="0"/>
        <w:jc w:val="both"/>
        <w:rPr>
          <w:sz w:val="22"/>
        </w:rPr>
      </w:pPr>
      <w:r>
        <w:rPr>
          <w:sz w:val="22"/>
        </w:rPr>
      </w:r>
    </w:p>
    <w:p>
      <w:pPr>
        <w:pStyle w:val="Normal"/>
        <w:numPr>
          <w:ilvl w:val="0"/>
          <w:numId w:val="5"/>
        </w:numPr>
        <w:jc w:val="both"/>
        <w:rPr>
          <w:sz w:val="22"/>
        </w:rPr>
      </w:pPr>
      <w:r>
        <w:rPr>
          <w:sz w:val="22"/>
        </w:rPr>
        <w:t>The customer’s meter reading</w:t>
      </w:r>
      <w:r>
        <w:fldChar w:fldCharType="begin"/>
      </w:r>
      <w:r>
        <w:rPr/>
        <w:instrText xml:space="preserve"> XE "meter reading" </w:instrText>
      </w:r>
      <w:r>
        <w:rPr/>
        <w:fldChar w:fldCharType="separate"/>
      </w:r>
      <w:r>
        <w:rPr/>
      </w:r>
      <w:r>
        <w:rPr/>
        <w:fldChar w:fldCharType="end"/>
      </w:r>
      <w:r>
        <w:rPr>
          <w:sz w:val="22"/>
        </w:rPr>
        <w:t xml:space="preserve"> date drives BGE’s billing cycle.</w:t>
      </w:r>
    </w:p>
    <w:p>
      <w:pPr>
        <w:pStyle w:val="Normal"/>
        <w:ind w:start="360" w:end="0"/>
        <w:jc w:val="both"/>
        <w:rPr>
          <w:sz w:val="22"/>
        </w:rPr>
      </w:pPr>
      <w:r>
        <w:rPr>
          <w:sz w:val="22"/>
        </w:rPr>
      </w:r>
    </w:p>
    <w:p>
      <w:pPr>
        <w:pStyle w:val="Normal"/>
        <w:numPr>
          <w:ilvl w:val="0"/>
          <w:numId w:val="41"/>
        </w:numPr>
        <w:tabs>
          <w:tab w:val="clear" w:pos="720"/>
          <w:tab w:val="left" w:pos="1620" w:leader="none"/>
        </w:tabs>
        <w:jc w:val="both"/>
        <w:rPr>
          <w:sz w:val="22"/>
        </w:rPr>
      </w:pPr>
      <w:r>
        <w:rPr>
          <w:sz w:val="22"/>
        </w:rPr>
        <w:t>For informational purposes, BGE will perform an off-cycle meter read for a fee in accordance with Schedule 1.  However, this meter read is for informational purposes only and will not impact the meters’ regular bill schedule or a Customer’s switch.</w:t>
      </w:r>
    </w:p>
    <w:p>
      <w:pPr>
        <w:pStyle w:val="Normal"/>
        <w:ind w:start="360" w:end="0"/>
        <w:jc w:val="both"/>
        <w:rPr>
          <w:sz w:val="22"/>
        </w:rPr>
      </w:pPr>
      <w:r>
        <w:rPr>
          <w:sz w:val="22"/>
        </w:rPr>
      </w:r>
    </w:p>
    <w:p>
      <w:pPr>
        <w:pStyle w:val="Heading3"/>
        <w:ind w:hanging="0" w:start="0"/>
        <w:rPr/>
      </w:pPr>
      <w:r>
        <w:rPr/>
        <w:t>BILLING</w:t>
      </w:r>
    </w:p>
    <w:p>
      <w:pPr>
        <w:pStyle w:val="Heading2"/>
        <w:ind w:hanging="0" w:start="0"/>
        <w:rPr>
          <w:sz w:val="22"/>
        </w:rPr>
      </w:pPr>
      <w:r>
        <w:rPr>
          <w:sz w:val="22"/>
        </w:rPr>
        <w:t xml:space="preserve">Billing Service Options  </w:t>
      </w:r>
    </w:p>
    <w:p>
      <w:pPr>
        <w:pStyle w:val="Normal"/>
        <w:jc w:val="both"/>
        <w:rPr/>
      </w:pPr>
      <w:r>
        <w:rPr>
          <w:sz w:val="22"/>
        </w:rPr>
        <w:t>Upon enrollment with an Electricity Supplier, Customers have the option of electing one of up to three billing options as follows.  Customers’ elected billing option will be confirmed on the enrollment confirmation letter.  Electricity Suppliers will be subject to the applicable billing fees as outlined in Schedule 1 of the BGE Tariff and must successfully complete all relevant Commission approved billing</w:t>
      </w:r>
      <w:r>
        <w:rPr>
          <w:b/>
          <w:sz w:val="22"/>
        </w:rPr>
        <w:t xml:space="preserve"> </w:t>
      </w:r>
      <w:r>
        <w:rPr>
          <w:sz w:val="22"/>
        </w:rPr>
        <w:t>testing prior to offering such billing options to Customers.</w:t>
      </w:r>
    </w:p>
    <w:p>
      <w:pPr>
        <w:pStyle w:val="Normal"/>
        <w:jc w:val="both"/>
        <w:rPr>
          <w:sz w:val="22"/>
        </w:rPr>
      </w:pPr>
      <w:r>
        <w:rPr>
          <w:sz w:val="22"/>
        </w:rPr>
      </w:r>
    </w:p>
    <w:p>
      <w:pPr>
        <w:pStyle w:val="Normal"/>
        <w:numPr>
          <w:ilvl w:val="0"/>
          <w:numId w:val="45"/>
        </w:numPr>
        <w:tabs>
          <w:tab w:val="left" w:pos="720" w:leader="none"/>
        </w:tabs>
        <w:ind w:hanging="360" w:start="720" w:end="0"/>
        <w:jc w:val="both"/>
        <w:rPr>
          <w:sz w:val="22"/>
        </w:rPr>
      </w:pPr>
      <w:r>
        <w:rPr>
          <w:b/>
          <w:sz w:val="22"/>
        </w:rPr>
        <w:t xml:space="preserve">Company Consolidated Billing.  </w:t>
      </w:r>
      <w:r>
        <w:rPr>
          <w:sz w:val="22"/>
        </w:rPr>
        <w:t>BGE will render the bill with its charges and the Electricity Supplier’s charges shown separately on the bill.</w:t>
      </w:r>
    </w:p>
    <w:p>
      <w:pPr>
        <w:pStyle w:val="Normal"/>
        <w:numPr>
          <w:ilvl w:val="0"/>
          <w:numId w:val="45"/>
        </w:numPr>
        <w:tabs>
          <w:tab w:val="left" w:pos="720" w:leader="none"/>
        </w:tabs>
        <w:ind w:hanging="360" w:start="720" w:end="0"/>
        <w:jc w:val="both"/>
        <w:rPr>
          <w:sz w:val="22"/>
        </w:rPr>
      </w:pPr>
      <w:r>
        <w:rPr>
          <w:b/>
          <w:sz w:val="22"/>
        </w:rPr>
        <w:t>Electricity Supplier Consolidated Billing</w:t>
      </w:r>
      <w:r>
        <w:rPr>
          <w:sz w:val="22"/>
        </w:rPr>
        <w:t xml:space="preserve">.  The Electricity Supplier will render the bill with its charges and BGE’s charges shown separately on the bill.  </w:t>
      </w:r>
      <w:r>
        <w:rPr>
          <w:b/>
          <w:sz w:val="22"/>
        </w:rPr>
        <w:t>ESP Consolidated Bill Ready is available as a combined manual / EDI process with limited availability -- invoice data is provided to the ESP manually</w:t>
      </w:r>
      <w:r>
        <w:rPr>
          <w:sz w:val="22"/>
        </w:rPr>
        <w:t xml:space="preserve">.  </w:t>
      </w:r>
    </w:p>
    <w:p>
      <w:pPr>
        <w:pStyle w:val="Normal"/>
        <w:numPr>
          <w:ilvl w:val="0"/>
          <w:numId w:val="45"/>
        </w:numPr>
        <w:tabs>
          <w:tab w:val="left" w:pos="720" w:leader="none"/>
        </w:tabs>
        <w:ind w:hanging="360" w:start="720" w:end="0"/>
        <w:jc w:val="both"/>
        <w:rPr>
          <w:sz w:val="22"/>
        </w:rPr>
      </w:pPr>
      <w:r>
        <w:rPr>
          <w:b/>
          <w:sz w:val="22"/>
        </w:rPr>
        <w:t>Dual Billing.</w:t>
      </w:r>
      <w:r>
        <w:rPr>
          <w:sz w:val="22"/>
        </w:rPr>
        <w:t xml:space="preserve">  Both BGE and the Electricity Supplier will bill the end-use Customers individually for their respective charges.</w:t>
      </w:r>
    </w:p>
    <w:p>
      <w:pPr>
        <w:pStyle w:val="Normal"/>
        <w:numPr>
          <w:ilvl w:val="0"/>
          <w:numId w:val="14"/>
        </w:numPr>
        <w:tabs>
          <w:tab w:val="clear" w:pos="720"/>
          <w:tab w:val="left" w:pos="1080" w:leader="none"/>
        </w:tabs>
        <w:ind w:hanging="360" w:start="1080" w:end="0"/>
        <w:jc w:val="both"/>
        <w:rPr>
          <w:sz w:val="22"/>
        </w:rPr>
      </w:pPr>
      <w:r>
        <w:rPr>
          <w:sz w:val="22"/>
        </w:rPr>
        <w:t>The following types of accounts require the Dual Billing Option:</w:t>
      </w:r>
    </w:p>
    <w:p>
      <w:pPr>
        <w:pStyle w:val="Normal"/>
        <w:numPr>
          <w:ilvl w:val="0"/>
          <w:numId w:val="40"/>
        </w:numPr>
        <w:tabs>
          <w:tab w:val="clear" w:pos="720"/>
          <w:tab w:val="left" w:pos="1440" w:leader="none"/>
        </w:tabs>
        <w:ind w:hanging="360" w:start="1440" w:end="0"/>
        <w:jc w:val="both"/>
        <w:rPr>
          <w:sz w:val="22"/>
        </w:rPr>
      </w:pPr>
      <w:r>
        <w:rPr>
          <w:sz w:val="22"/>
        </w:rPr>
        <w:t>Street Lights</w:t>
      </w:r>
    </w:p>
    <w:p>
      <w:pPr>
        <w:pStyle w:val="Normal"/>
        <w:numPr>
          <w:ilvl w:val="0"/>
          <w:numId w:val="40"/>
        </w:numPr>
        <w:tabs>
          <w:tab w:val="clear" w:pos="720"/>
          <w:tab w:val="left" w:pos="1440" w:leader="none"/>
        </w:tabs>
        <w:ind w:hanging="360" w:start="1440" w:end="0"/>
        <w:jc w:val="both"/>
        <w:rPr>
          <w:sz w:val="22"/>
        </w:rPr>
      </w:pPr>
      <w:r>
        <w:rPr>
          <w:sz w:val="22"/>
        </w:rPr>
        <w:t>UNMETERED Traffic Signals</w:t>
      </w:r>
    </w:p>
    <w:p>
      <w:pPr>
        <w:pStyle w:val="Normal"/>
        <w:numPr>
          <w:ilvl w:val="0"/>
          <w:numId w:val="40"/>
        </w:numPr>
        <w:tabs>
          <w:tab w:val="clear" w:pos="720"/>
          <w:tab w:val="left" w:pos="1440" w:leader="none"/>
        </w:tabs>
        <w:ind w:hanging="360" w:start="1440" w:end="0"/>
        <w:jc w:val="both"/>
        <w:rPr>
          <w:sz w:val="22"/>
        </w:rPr>
      </w:pPr>
      <w:r>
        <w:rPr>
          <w:sz w:val="22"/>
        </w:rPr>
        <w:t>Accounts with Sub-Deduct Meters</w:t>
      </w:r>
    </w:p>
    <w:p>
      <w:pPr>
        <w:pStyle w:val="Normal"/>
        <w:numPr>
          <w:ilvl w:val="0"/>
          <w:numId w:val="40"/>
        </w:numPr>
        <w:tabs>
          <w:tab w:val="clear" w:pos="720"/>
          <w:tab w:val="left" w:pos="1440" w:leader="none"/>
        </w:tabs>
        <w:ind w:hanging="360" w:start="1440" w:end="0"/>
        <w:jc w:val="both"/>
        <w:rPr>
          <w:sz w:val="22"/>
        </w:rPr>
      </w:pPr>
      <w:r>
        <w:rPr>
          <w:sz w:val="22"/>
        </w:rPr>
        <w:t>Co-Generation Accounts</w:t>
      </w:r>
    </w:p>
    <w:p>
      <w:pPr>
        <w:pStyle w:val="Normal"/>
        <w:numPr>
          <w:ilvl w:val="0"/>
          <w:numId w:val="40"/>
        </w:numPr>
        <w:tabs>
          <w:tab w:val="clear" w:pos="720"/>
          <w:tab w:val="left" w:pos="1440" w:leader="none"/>
        </w:tabs>
        <w:ind w:hanging="360" w:start="1440" w:end="0"/>
        <w:jc w:val="both"/>
        <w:rPr>
          <w:sz w:val="22"/>
        </w:rPr>
      </w:pPr>
      <w:r>
        <w:rPr>
          <w:sz w:val="22"/>
        </w:rPr>
        <w:t>Accounts where the number of meters exceeds the CIS maximum</w:t>
      </w:r>
    </w:p>
    <w:p>
      <w:pPr>
        <w:pStyle w:val="Normal"/>
        <w:numPr>
          <w:ilvl w:val="0"/>
          <w:numId w:val="40"/>
        </w:numPr>
        <w:tabs>
          <w:tab w:val="clear" w:pos="720"/>
          <w:tab w:val="left" w:pos="1440" w:leader="none"/>
        </w:tabs>
        <w:ind w:hanging="360" w:start="1440" w:end="0"/>
        <w:jc w:val="both"/>
        <w:rPr>
          <w:sz w:val="22"/>
        </w:rPr>
      </w:pPr>
      <w:r>
        <w:rPr>
          <w:sz w:val="22"/>
        </w:rPr>
        <w:t>Accounts with Multiple TOD meters</w:t>
      </w:r>
    </w:p>
    <w:p>
      <w:pPr>
        <w:pStyle w:val="Header"/>
        <w:widowControl/>
        <w:tabs>
          <w:tab w:val="clear" w:pos="4320"/>
          <w:tab w:val="clear" w:pos="8640"/>
        </w:tabs>
        <w:jc w:val="both"/>
        <w:rPr>
          <w:sz w:val="22"/>
        </w:rPr>
      </w:pPr>
      <w:r>
        <w:rPr>
          <w:sz w:val="22"/>
        </w:rPr>
      </w:r>
    </w:p>
    <w:p>
      <w:pPr>
        <w:pStyle w:val="Heading2"/>
        <w:ind w:hanging="0" w:start="0"/>
        <w:rPr/>
      </w:pPr>
      <w:r>
        <w:rPr/>
        <w:t xml:space="preserve">Billing and Payment Programs  </w:t>
      </w:r>
    </w:p>
    <w:p>
      <w:pPr>
        <w:pStyle w:val="BodyText3"/>
        <w:rPr>
          <w:b/>
          <w:sz w:val="22"/>
        </w:rPr>
      </w:pPr>
      <w:r>
        <w:rPr>
          <w:sz w:val="22"/>
        </w:rPr>
        <w:t>The following programs may continue to be offered by BGE.</w:t>
      </w:r>
    </w:p>
    <w:p>
      <w:pPr>
        <w:pStyle w:val="Normal"/>
        <w:numPr>
          <w:ilvl w:val="1"/>
          <w:numId w:val="7"/>
        </w:numPr>
        <w:tabs>
          <w:tab w:val="clear" w:pos="720"/>
          <w:tab w:val="left" w:pos="-1080" w:leader="none"/>
          <w:tab w:val="left" w:pos="-450" w:leader="none"/>
          <w:tab w:val="left" w:pos="0" w:leader="none"/>
        </w:tabs>
        <w:ind w:hanging="360" w:start="360" w:end="0"/>
        <w:jc w:val="both"/>
        <w:rPr>
          <w:b/>
          <w:sz w:val="22"/>
        </w:rPr>
      </w:pPr>
      <w:r>
        <w:rPr>
          <w:b/>
          <w:sz w:val="22"/>
        </w:rPr>
        <w:t>Budget Billing.</w:t>
      </w:r>
      <w:r>
        <w:rPr>
          <w:sz w:val="22"/>
        </w:rPr>
        <w:t xml:space="preserve">  BGE may continue to offer Budget Billing for its charges.  Customers enrolled in Budget Billing will remain on Budget Billing for BGE’s charges regardless of their Electricity Supplier or billing method.  For Customers on Electricity Supplier Consolidated Billing, BGE will provide the Electricity Supplier with a comparison of the Customers' accrued balance for inclusion on the bill.</w:t>
      </w:r>
    </w:p>
    <w:p>
      <w:pPr>
        <w:pStyle w:val="Normal"/>
        <w:numPr>
          <w:ilvl w:val="1"/>
          <w:numId w:val="7"/>
        </w:numPr>
        <w:tabs>
          <w:tab w:val="clear" w:pos="720"/>
          <w:tab w:val="left" w:pos="-1080" w:leader="none"/>
          <w:tab w:val="left" w:pos="-450" w:leader="none"/>
          <w:tab w:val="left" w:pos="0" w:leader="none"/>
        </w:tabs>
        <w:ind w:hanging="360" w:start="360" w:end="0"/>
        <w:jc w:val="both"/>
        <w:rPr>
          <w:b/>
          <w:sz w:val="22"/>
        </w:rPr>
      </w:pPr>
      <w:r>
        <w:rPr>
          <w:b/>
          <w:sz w:val="22"/>
        </w:rPr>
        <w:t xml:space="preserve">BGEasy.  </w:t>
      </w:r>
      <w:r>
        <w:rPr>
          <w:sz w:val="22"/>
        </w:rPr>
        <w:t>BGEasy is a pre-authorized debit payment program.  BGE will continue to offer BGEasy for all charges billed on a Company rendered bill.</w:t>
      </w:r>
      <w:r>
        <w:rPr>
          <w:b/>
          <w:sz w:val="22"/>
        </w:rPr>
        <w:t xml:space="preserve">  </w:t>
      </w:r>
      <w:r>
        <w:rPr>
          <w:sz w:val="22"/>
        </w:rPr>
        <w:t>Customers enrolled in BGEasy will remain on BGEasy unless they elect Electricity Supplier Consolidated Billing.  Customers seeking to enroll in, or terminate from, BGEasy must do so by contacting BGE.</w:t>
      </w:r>
    </w:p>
    <w:p>
      <w:pPr>
        <w:pStyle w:val="Normal"/>
        <w:tabs>
          <w:tab w:val="clear" w:pos="720"/>
          <w:tab w:val="left" w:pos="0" w:leader="none"/>
          <w:tab w:val="left" w:pos="420" w:leader="none"/>
        </w:tabs>
        <w:jc w:val="both"/>
        <w:rPr>
          <w:b/>
          <w:sz w:val="22"/>
        </w:rPr>
      </w:pPr>
      <w:r>
        <w:rPr>
          <w:b/>
          <w:sz w:val="22"/>
        </w:rPr>
      </w:r>
    </w:p>
    <w:p>
      <w:pPr>
        <w:pStyle w:val="Normal"/>
        <w:numPr>
          <w:ilvl w:val="0"/>
          <w:numId w:val="30"/>
        </w:numPr>
        <w:tabs>
          <w:tab w:val="clear" w:pos="720"/>
        </w:tabs>
        <w:jc w:val="both"/>
        <w:rPr>
          <w:sz w:val="22"/>
          <w:u w:val="single"/>
        </w:rPr>
      </w:pPr>
      <w:r>
        <w:rPr>
          <w:sz w:val="22"/>
        </w:rPr>
        <w:t>A licensed Electricity Supplier must provide at least 60 days advanced notice of the billing options it intends to offer or any changes to its existing billing options, and must complete all applicable Commission approved testing.</w:t>
      </w:r>
    </w:p>
    <w:p>
      <w:pPr>
        <w:pStyle w:val="Normal"/>
        <w:ind w:start="360" w:end="0"/>
        <w:jc w:val="both"/>
        <w:rPr>
          <w:b/>
          <w:sz w:val="22"/>
          <w:u w:val="single"/>
        </w:rPr>
      </w:pPr>
      <w:r>
        <w:rPr>
          <w:b/>
          <w:sz w:val="22"/>
          <w:u w:val="single"/>
        </w:rPr>
      </w:r>
    </w:p>
    <w:p>
      <w:pPr>
        <w:pStyle w:val="Normal"/>
        <w:numPr>
          <w:ilvl w:val="0"/>
          <w:numId w:val="30"/>
        </w:numPr>
        <w:tabs>
          <w:tab w:val="clear" w:pos="720"/>
        </w:tabs>
        <w:jc w:val="both"/>
        <w:rPr>
          <w:sz w:val="22"/>
        </w:rPr>
      </w:pPr>
      <w:r>
        <w:rPr>
          <w:sz w:val="22"/>
        </w:rPr>
        <w:t>The non-billing entity must provide the billing entity with all billing components as mandated by Commission approved standards.  The billing entity must provide space on the bill for all non-billing entity mandated billing component line items.</w:t>
      </w:r>
    </w:p>
    <w:p>
      <w:pPr>
        <w:pStyle w:val="Normal"/>
        <w:tabs>
          <w:tab w:val="clear" w:pos="720"/>
          <w:tab w:val="left" w:pos="0" w:leader="none"/>
        </w:tabs>
        <w:jc w:val="both"/>
        <w:rPr>
          <w:b/>
          <w:sz w:val="22"/>
        </w:rPr>
      </w:pPr>
      <w:r>
        <w:rPr>
          <w:b/>
          <w:sz w:val="22"/>
        </w:rPr>
      </w:r>
    </w:p>
    <w:p>
      <w:pPr>
        <w:pStyle w:val="Heading2"/>
        <w:ind w:hanging="0" w:start="0"/>
        <w:jc w:val="both"/>
        <w:rPr>
          <w:b w:val="false"/>
        </w:rPr>
      </w:pPr>
      <w:r>
        <w:rPr/>
        <w:t>Bill Image Requirements – Company Consolidated Billing</w:t>
      </w:r>
    </w:p>
    <w:p>
      <w:pPr>
        <w:pStyle w:val="Heading2"/>
        <w:numPr>
          <w:ilvl w:val="0"/>
          <w:numId w:val="4"/>
        </w:numPr>
        <w:tabs>
          <w:tab w:val="clear" w:pos="720"/>
          <w:tab w:val="left" w:pos="1080" w:leader="none"/>
        </w:tabs>
        <w:ind w:hanging="360" w:start="1080" w:end="0"/>
        <w:jc w:val="both"/>
        <w:rPr>
          <w:b w:val="false"/>
          <w:sz w:val="22"/>
        </w:rPr>
      </w:pPr>
      <w:r>
        <w:rPr>
          <w:b w:val="false"/>
          <w:sz w:val="22"/>
        </w:rPr>
        <w:t>Supplier’s name is limited to 28 characters.</w:t>
      </w:r>
    </w:p>
    <w:p>
      <w:pPr>
        <w:pStyle w:val="Normal"/>
        <w:numPr>
          <w:ilvl w:val="0"/>
          <w:numId w:val="4"/>
        </w:numPr>
        <w:tabs>
          <w:tab w:val="clear" w:pos="720"/>
          <w:tab w:val="left" w:pos="1080" w:leader="none"/>
        </w:tabs>
        <w:ind w:hanging="360" w:start="1080" w:end="0"/>
        <w:jc w:val="both"/>
        <w:rPr>
          <w:sz w:val="22"/>
        </w:rPr>
      </w:pPr>
      <w:r>
        <w:rPr>
          <w:sz w:val="22"/>
        </w:rPr>
        <w:t>There is no defined limit to the number of billing determinants the Supplier can send.</w:t>
      </w:r>
    </w:p>
    <w:p>
      <w:pPr>
        <w:pStyle w:val="Normal"/>
        <w:numPr>
          <w:ilvl w:val="0"/>
          <w:numId w:val="4"/>
        </w:numPr>
        <w:tabs>
          <w:tab w:val="clear" w:pos="720"/>
          <w:tab w:val="left" w:pos="1080" w:leader="none"/>
        </w:tabs>
        <w:ind w:hanging="360" w:start="1080" w:end="0"/>
        <w:jc w:val="both"/>
        <w:rPr>
          <w:sz w:val="22"/>
        </w:rPr>
      </w:pPr>
      <w:r>
        <w:rPr>
          <w:sz w:val="22"/>
        </w:rPr>
        <w:t>Should the number of bill pages exceed BGE’s mail weight limit, Supplier Account Management will contact the Supplier to determine a resolution.</w:t>
      </w:r>
    </w:p>
    <w:p>
      <w:pPr>
        <w:pStyle w:val="Normal"/>
        <w:numPr>
          <w:ilvl w:val="0"/>
          <w:numId w:val="4"/>
        </w:numPr>
        <w:tabs>
          <w:tab w:val="clear" w:pos="720"/>
          <w:tab w:val="left" w:pos="1080" w:leader="none"/>
        </w:tabs>
        <w:ind w:hanging="360" w:start="1080" w:end="0"/>
        <w:jc w:val="both"/>
        <w:rPr>
          <w:sz w:val="22"/>
        </w:rPr>
      </w:pPr>
      <w:r>
        <w:rPr>
          <w:sz w:val="22"/>
        </w:rPr>
        <w:t>The description of the billing determinant is limited to 18 characters.</w:t>
      </w:r>
    </w:p>
    <w:p>
      <w:pPr>
        <w:pStyle w:val="Normal"/>
        <w:numPr>
          <w:ilvl w:val="0"/>
          <w:numId w:val="4"/>
        </w:numPr>
        <w:tabs>
          <w:tab w:val="clear" w:pos="720"/>
          <w:tab w:val="left" w:pos="1080" w:leader="none"/>
        </w:tabs>
        <w:ind w:hanging="360" w:start="1080" w:end="0"/>
        <w:jc w:val="both"/>
        <w:rPr>
          <w:sz w:val="22"/>
        </w:rPr>
      </w:pPr>
      <w:r>
        <w:rPr>
          <w:sz w:val="22"/>
        </w:rPr>
        <w:t>Supplier rates are limited to 8 characters.</w:t>
      </w:r>
    </w:p>
    <w:p>
      <w:pPr>
        <w:pStyle w:val="Normal"/>
        <w:numPr>
          <w:ilvl w:val="0"/>
          <w:numId w:val="4"/>
        </w:numPr>
        <w:tabs>
          <w:tab w:val="clear" w:pos="720"/>
          <w:tab w:val="left" w:pos="1080" w:leader="none"/>
        </w:tabs>
        <w:ind w:hanging="360" w:start="1080" w:end="0"/>
        <w:jc w:val="both"/>
        <w:rPr>
          <w:sz w:val="22"/>
        </w:rPr>
      </w:pPr>
      <w:r>
        <w:rPr>
          <w:sz w:val="22"/>
        </w:rPr>
        <w:t>The demand descriptors are limited to a maximum of 5 characters (kW, kVA, kVAR).</w:t>
      </w:r>
    </w:p>
    <w:p>
      <w:pPr>
        <w:pStyle w:val="Normal"/>
        <w:numPr>
          <w:ilvl w:val="0"/>
          <w:numId w:val="4"/>
        </w:numPr>
        <w:tabs>
          <w:tab w:val="clear" w:pos="720"/>
          <w:tab w:val="left" w:pos="1080" w:leader="none"/>
        </w:tabs>
        <w:ind w:hanging="360" w:start="1080" w:end="0"/>
        <w:jc w:val="both"/>
        <w:rPr>
          <w:sz w:val="22"/>
        </w:rPr>
      </w:pPr>
      <w:r>
        <w:rPr>
          <w:sz w:val="22"/>
        </w:rPr>
        <w:t>The unit’s descriptor is limited to a maximum of 5 characters (kWh, kVARH)</w:t>
      </w:r>
    </w:p>
    <w:p>
      <w:pPr>
        <w:pStyle w:val="Normal"/>
        <w:numPr>
          <w:ilvl w:val="0"/>
          <w:numId w:val="4"/>
        </w:numPr>
        <w:tabs>
          <w:tab w:val="clear" w:pos="720"/>
          <w:tab w:val="left" w:pos="0" w:leader="none"/>
          <w:tab w:val="left" w:pos="1080" w:leader="none"/>
        </w:tabs>
        <w:ind w:hanging="360" w:start="1080" w:end="0"/>
        <w:jc w:val="both"/>
        <w:rPr>
          <w:sz w:val="22"/>
        </w:rPr>
      </w:pPr>
      <w:r>
        <w:rPr>
          <w:sz w:val="22"/>
        </w:rPr>
        <w:t>The charge limit is $999,999.99.</w:t>
      </w:r>
    </w:p>
    <w:p>
      <w:pPr>
        <w:pStyle w:val="Normal"/>
        <w:tabs>
          <w:tab w:val="clear" w:pos="720"/>
          <w:tab w:val="left" w:pos="0" w:leader="none"/>
        </w:tabs>
        <w:jc w:val="both"/>
        <w:rPr>
          <w:b/>
          <w:sz w:val="22"/>
        </w:rPr>
      </w:pPr>
      <w:r>
        <w:rPr>
          <w:b/>
          <w:sz w:val="22"/>
        </w:rPr>
      </w:r>
    </w:p>
    <w:p>
      <w:pPr>
        <w:pStyle w:val="Normal"/>
        <w:numPr>
          <w:ilvl w:val="0"/>
          <w:numId w:val="33"/>
        </w:numPr>
        <w:jc w:val="both"/>
        <w:rPr>
          <w:sz w:val="22"/>
        </w:rPr>
      </w:pPr>
      <w:r>
        <w:rPr>
          <w:sz w:val="22"/>
        </w:rPr>
        <w:t xml:space="preserve">The billing entity will provide the non-billing entity up to four lines, each 80 characters in length, on its standard bill for messages directly related to mandated Commission messages, the calculation or understanding of the non-billing entity’s portion of the bill, and/or Company customer collections.  Mandated notices that cannot be accommodated due to space limitations on the bill will require a separate insert (e.g., the Customers' Rights Pamphlet).  </w:t>
      </w:r>
    </w:p>
    <w:p>
      <w:pPr>
        <w:pStyle w:val="Normal"/>
        <w:jc w:val="both"/>
        <w:rPr>
          <w:b/>
          <w:sz w:val="20"/>
        </w:rPr>
      </w:pPr>
      <w:r>
        <w:rPr>
          <w:b/>
          <w:sz w:val="20"/>
        </w:rPr>
      </w:r>
    </w:p>
    <w:p>
      <w:pPr>
        <w:pStyle w:val="Normal"/>
        <w:numPr>
          <w:ilvl w:val="0"/>
          <w:numId w:val="33"/>
        </w:numPr>
        <w:tabs>
          <w:tab w:val="clear" w:pos="720"/>
        </w:tabs>
        <w:jc w:val="both"/>
        <w:rPr>
          <w:b/>
          <w:sz w:val="22"/>
        </w:rPr>
      </w:pPr>
      <w:r>
        <w:rPr>
          <w:sz w:val="22"/>
        </w:rPr>
        <w:t>For the consolidated billing options, the Electricity Suppliers must adopt the same bill due date as assigned by BGE.  Most bill due dates will be in accordance with BGE’s published bill schedule.</w:t>
      </w:r>
    </w:p>
    <w:p>
      <w:pPr>
        <w:pStyle w:val="Normal"/>
        <w:jc w:val="both"/>
        <w:rPr>
          <w:b/>
          <w:sz w:val="20"/>
        </w:rPr>
      </w:pPr>
      <w:r>
        <w:rPr>
          <w:b/>
          <w:sz w:val="20"/>
        </w:rPr>
      </w:r>
    </w:p>
    <w:p>
      <w:pPr>
        <w:pStyle w:val="Normal"/>
        <w:numPr>
          <w:ilvl w:val="0"/>
          <w:numId w:val="33"/>
        </w:numPr>
        <w:jc w:val="both"/>
        <w:rPr>
          <w:sz w:val="22"/>
        </w:rPr>
      </w:pPr>
      <w:r>
        <w:rPr>
          <w:sz w:val="22"/>
        </w:rPr>
        <w:t>For Customers eligible for, and participating in, BGE’s Summary Billing program, meter read data is collected on its regular schedule, but the billing date and due date are adjusted to allow multiple accounts to be summarized and due on the same date.  Under normal circumstances, BGE will require a Summary Bill Customer to receive Dual Billing.  Suppliers may elect to offer consolidated billing for summary bill customers.  BGE will provide the information necessary for the supplier to render a consolidated bill in a method other than an EDI transaction until such time as an EDI transaction is developed.</w:t>
      </w:r>
    </w:p>
    <w:p>
      <w:pPr>
        <w:pStyle w:val="Normal"/>
        <w:ind w:start="360" w:end="0"/>
        <w:jc w:val="both"/>
        <w:rPr>
          <w:sz w:val="20"/>
        </w:rPr>
      </w:pPr>
      <w:r>
        <w:rPr>
          <w:sz w:val="20"/>
        </w:rPr>
      </w:r>
    </w:p>
    <w:p>
      <w:pPr>
        <w:pStyle w:val="Normal"/>
        <w:numPr>
          <w:ilvl w:val="0"/>
          <w:numId w:val="33"/>
        </w:numPr>
        <w:jc w:val="both"/>
        <w:rPr>
          <w:sz w:val="22"/>
        </w:rPr>
      </w:pPr>
      <w:r>
        <w:rPr>
          <w:sz w:val="22"/>
        </w:rPr>
        <w:t xml:space="preserve">The non-billing entity will calculate its Customers’ charges and will send its Customers’ charges to the billing entity within 72 hours of receipt of the meter read data.  The non-billing entity’s charges shall be in bill-ready format in accordance with Commission standards.  </w:t>
      </w:r>
    </w:p>
    <w:p>
      <w:pPr>
        <w:pStyle w:val="Normal"/>
        <w:jc w:val="both"/>
        <w:rPr>
          <w:sz w:val="22"/>
        </w:rPr>
      </w:pPr>
      <w:r>
        <w:rPr>
          <w:sz w:val="22"/>
        </w:rPr>
      </w:r>
    </w:p>
    <w:p>
      <w:pPr>
        <w:pStyle w:val="Normal"/>
        <w:numPr>
          <w:ilvl w:val="0"/>
          <w:numId w:val="33"/>
        </w:numPr>
        <w:jc w:val="both"/>
        <w:rPr>
          <w:sz w:val="22"/>
        </w:rPr>
      </w:pPr>
      <w:r>
        <w:rPr>
          <w:sz w:val="22"/>
        </w:rPr>
        <w:t>Any transactions with non-billing entity charges sent to a billing entity after the 72 hours will be rejected and the non-billing entity will need to resubmit the data the following month.  In such instances where the non-billing entity fails to provide necessary data to the billing entity within the 72 hours, the billing entity shall not incur any financial obligations due to this failure.  The Customer’s bill for the current billing period will state that the non-billing entity charges for the current billing period are not available.</w:t>
      </w:r>
    </w:p>
    <w:p>
      <w:pPr>
        <w:pStyle w:val="Normal"/>
        <w:ind w:start="360" w:end="0"/>
        <w:jc w:val="both"/>
        <w:rPr>
          <w:sz w:val="22"/>
        </w:rPr>
      </w:pPr>
      <w:r>
        <w:rPr>
          <w:sz w:val="22"/>
        </w:rPr>
      </w:r>
    </w:p>
    <w:p>
      <w:pPr>
        <w:pStyle w:val="Normal"/>
        <w:numPr>
          <w:ilvl w:val="0"/>
          <w:numId w:val="33"/>
        </w:numPr>
        <w:jc w:val="both"/>
        <w:rPr>
          <w:sz w:val="22"/>
        </w:rPr>
      </w:pPr>
      <w:r>
        <w:rPr>
          <w:sz w:val="22"/>
        </w:rPr>
        <w:t xml:space="preserve">The billing entity must render Customer bills no later than 72 hours from receipt of the non-billing entity charges. </w:t>
      </w:r>
    </w:p>
    <w:p>
      <w:pPr>
        <w:pStyle w:val="Normal"/>
        <w:jc w:val="both"/>
        <w:rPr>
          <w:b/>
          <w:sz w:val="22"/>
        </w:rPr>
      </w:pPr>
      <w:r>
        <w:rPr>
          <w:b/>
          <w:sz w:val="22"/>
        </w:rPr>
      </w:r>
    </w:p>
    <w:p>
      <w:pPr>
        <w:pStyle w:val="Normal"/>
        <w:numPr>
          <w:ilvl w:val="0"/>
          <w:numId w:val="33"/>
        </w:numPr>
        <w:jc w:val="both"/>
        <w:rPr>
          <w:b/>
          <w:sz w:val="22"/>
          <w:u w:val="single"/>
        </w:rPr>
      </w:pPr>
      <w:r>
        <w:rPr>
          <w:sz w:val="22"/>
        </w:rPr>
        <w:t>If a non-billing entity meets the 72-hour billing submission requirements and the billing entity fails to render a batch of bills to the Customers within the specified time limits, the billing entity shall purchase the accounts receivables related to those untimely bills from the non-billing party unless mutually agreed upon terms are negotiated between the parties.  The billing entity shall notify the non-billing entity within 24 hours of its knowledge that it will be, or was, unable to perform batch billing.</w:t>
      </w:r>
    </w:p>
    <w:p>
      <w:pPr>
        <w:pStyle w:val="Normal"/>
        <w:jc w:val="both"/>
        <w:rPr>
          <w:b/>
          <w:sz w:val="22"/>
          <w:u w:val="single"/>
        </w:rPr>
      </w:pPr>
      <w:r>
        <w:rPr>
          <w:b/>
          <w:sz w:val="22"/>
          <w:u w:val="single"/>
        </w:rPr>
      </w:r>
    </w:p>
    <w:p>
      <w:pPr>
        <w:pStyle w:val="Normal"/>
        <w:numPr>
          <w:ilvl w:val="0"/>
          <w:numId w:val="33"/>
        </w:numPr>
        <w:jc w:val="both"/>
        <w:rPr>
          <w:sz w:val="22"/>
        </w:rPr>
      </w:pPr>
      <w:r>
        <w:rPr>
          <w:sz w:val="22"/>
        </w:rPr>
        <w:t>If a non-billing entity meets the 72-hours billing submission requirements and the billing entity fails to render some individual bills (i.e., due to failed billing edits, technical difficulty, etc.) the billing entity shall notify the non-billing entity within 24 hours of its knowledge that it will be, or was, unable to perform the billing.  The billing entity shall have 72 hours from the date the problem became known to correct it and render the bill.  If the bill is not rendered after the 72-hour period, the billing entity shall purchase the accounts receivables related to those untimely bills from the non-billing party unless mutually agreed upon terms are negotiated between the parties.</w:t>
      </w:r>
    </w:p>
    <w:p>
      <w:pPr>
        <w:pStyle w:val="Normal"/>
        <w:jc w:val="both"/>
        <w:rPr>
          <w:sz w:val="22"/>
        </w:rPr>
      </w:pPr>
      <w:r>
        <w:rPr>
          <w:sz w:val="22"/>
        </w:rPr>
      </w:r>
    </w:p>
    <w:p>
      <w:pPr>
        <w:pStyle w:val="Normal"/>
        <w:numPr>
          <w:ilvl w:val="0"/>
          <w:numId w:val="44"/>
        </w:numPr>
        <w:rPr>
          <w:sz w:val="22"/>
        </w:rPr>
      </w:pPr>
      <w:r>
        <w:rPr>
          <w:sz w:val="22"/>
        </w:rPr>
        <w:t xml:space="preserve">The billing entity will maintain a record of all Customer arrearages owed to the non-biller as long as the Customer maintains its relationship with the non-billing entity and the billing option does not change.  For those instances where the relationship between an Electricity Supplier and a Customer terminates, the following rules shall apply.                               </w:t>
        <w:br/>
      </w:r>
    </w:p>
    <w:p>
      <w:pPr>
        <w:pStyle w:val="Normal"/>
        <w:numPr>
          <w:ilvl w:val="1"/>
          <w:numId w:val="37"/>
        </w:numPr>
        <w:tabs>
          <w:tab w:val="clear" w:pos="720"/>
          <w:tab w:val="left" w:pos="-1800" w:leader="none"/>
          <w:tab w:val="left" w:pos="-1440" w:leader="none"/>
        </w:tabs>
        <w:ind w:hanging="360" w:start="720" w:end="0"/>
        <w:jc w:val="both"/>
        <w:rPr>
          <w:sz w:val="22"/>
        </w:rPr>
      </w:pPr>
      <w:r>
        <w:rPr>
          <w:b/>
          <w:sz w:val="22"/>
          <w:u w:val="single"/>
        </w:rPr>
        <w:t>Company Consolidated Billing, Customer switches Suppliers, retains Company as consolidated biller.</w:t>
      </w:r>
      <w:r>
        <w:rPr>
          <w:b/>
          <w:sz w:val="22"/>
        </w:rPr>
        <w:t xml:space="preserve">  </w:t>
      </w:r>
      <w:r>
        <w:rPr>
          <w:sz w:val="22"/>
        </w:rPr>
        <w:t xml:space="preserve">BGE will render a final bill for the former Electricity Supplier and will retain those charges for up to 60 days or until paid in full, whichever comes first.  If not paid in full, BGE will send an electronic transaction to the former Electricity Supplier to return its outstanding charges. </w:t>
      </w:r>
    </w:p>
    <w:p>
      <w:pPr>
        <w:pStyle w:val="Normal"/>
        <w:numPr>
          <w:ilvl w:val="1"/>
          <w:numId w:val="37"/>
        </w:numPr>
        <w:tabs>
          <w:tab w:val="clear" w:pos="720"/>
          <w:tab w:val="left" w:pos="-1800" w:leader="none"/>
          <w:tab w:val="left" w:pos="-1440" w:leader="none"/>
        </w:tabs>
        <w:ind w:hanging="360" w:start="720" w:end="0"/>
        <w:jc w:val="both"/>
        <w:rPr>
          <w:sz w:val="22"/>
        </w:rPr>
      </w:pPr>
      <w:r>
        <w:rPr>
          <w:b/>
          <w:sz w:val="22"/>
          <w:u w:val="single"/>
        </w:rPr>
        <w:t>Company Consolidated Billing, Customer switches Suppliers, chooses new Supplier as consolidated biller.</w:t>
      </w:r>
      <w:r>
        <w:rPr>
          <w:b/>
          <w:sz w:val="22"/>
        </w:rPr>
        <w:t xml:space="preserve">  </w:t>
      </w:r>
      <w:r>
        <w:rPr>
          <w:sz w:val="22"/>
        </w:rPr>
        <w:t>BGE will render a final bill for the former Electricity Supplier’s charges and will retain those charges for up to 30 days.  After 30 days, BGE will send an electronic transaction to the former Electricity Supplier to return its unpaid charges.  BGE will transfer arrears related to regulated electric charges (via the first billing transaction) to be included on the new Electricity Supplier’s consolidated billing statement.</w:t>
      </w:r>
    </w:p>
    <w:p>
      <w:pPr>
        <w:pStyle w:val="Normal"/>
        <w:numPr>
          <w:ilvl w:val="1"/>
          <w:numId w:val="37"/>
        </w:numPr>
        <w:tabs>
          <w:tab w:val="clear" w:pos="720"/>
          <w:tab w:val="left" w:pos="-1800" w:leader="none"/>
          <w:tab w:val="left" w:pos="-1440" w:leader="none"/>
        </w:tabs>
        <w:ind w:hanging="360" w:start="720" w:end="0"/>
        <w:jc w:val="both"/>
        <w:rPr>
          <w:sz w:val="22"/>
        </w:rPr>
      </w:pPr>
      <w:r>
        <w:rPr>
          <w:b/>
          <w:sz w:val="22"/>
          <w:u w:val="single"/>
        </w:rPr>
        <w:t>Company Consolidated Billing, Customer switches Suppliers, chooses Dual Billing option.</w:t>
      </w:r>
      <w:r>
        <w:rPr>
          <w:sz w:val="22"/>
        </w:rPr>
        <w:t xml:space="preserve">  BGE will render a final bill for the former Electricity Supplier and will retain those charges for up to 60 days or until paid in full, whichever comes first.  If not paid in full, BGE will send an electronic transaction to the former Electricity Supplier to return its outstanding charges. </w:t>
      </w:r>
    </w:p>
    <w:p>
      <w:pPr>
        <w:pStyle w:val="Normal"/>
        <w:numPr>
          <w:ilvl w:val="1"/>
          <w:numId w:val="37"/>
        </w:numPr>
        <w:tabs>
          <w:tab w:val="clear" w:pos="720"/>
          <w:tab w:val="left" w:pos="-1800" w:leader="none"/>
          <w:tab w:val="left" w:pos="-1440" w:leader="none"/>
        </w:tabs>
        <w:ind w:hanging="360" w:start="720" w:end="0"/>
        <w:jc w:val="both"/>
        <w:rPr>
          <w:sz w:val="22"/>
        </w:rPr>
      </w:pPr>
      <w:r>
        <w:rPr>
          <w:b/>
          <w:sz w:val="22"/>
          <w:u w:val="single"/>
        </w:rPr>
        <w:t>Company Consolidated Billing, Customer switches back to Default Service.</w:t>
      </w:r>
      <w:r>
        <w:rPr>
          <w:b/>
          <w:sz w:val="22"/>
        </w:rPr>
        <w:t xml:space="preserve">  </w:t>
      </w:r>
      <w:r>
        <w:rPr>
          <w:sz w:val="22"/>
        </w:rPr>
        <w:t xml:space="preserve">BGE will render a final bill for the former Electricity Supplier and will retain those charges for up to 60 days or until paid in full, whichever comes first.  If not paid in full, BGE will send an electronic transaction to the former Electricity Supplier to return its outstanding charges. </w:t>
      </w:r>
    </w:p>
    <w:p>
      <w:pPr>
        <w:pStyle w:val="Normal"/>
        <w:numPr>
          <w:ilvl w:val="1"/>
          <w:numId w:val="37"/>
        </w:numPr>
        <w:tabs>
          <w:tab w:val="clear" w:pos="720"/>
          <w:tab w:val="left" w:pos="-1800" w:leader="none"/>
          <w:tab w:val="left" w:pos="-1440" w:leader="none"/>
        </w:tabs>
        <w:ind w:hanging="360" w:start="720" w:end="0"/>
        <w:jc w:val="both"/>
        <w:rPr>
          <w:sz w:val="22"/>
        </w:rPr>
      </w:pPr>
      <w:r>
        <w:rPr>
          <w:b/>
          <w:sz w:val="22"/>
          <w:u w:val="single"/>
        </w:rPr>
        <w:t>Supplier Consolidated Billing, Customer switches Suppliers, chooses Company as consolidated biller.</w:t>
      </w:r>
      <w:r>
        <w:rPr>
          <w:b/>
          <w:sz w:val="22"/>
        </w:rPr>
        <w:t xml:space="preserve">  </w:t>
      </w:r>
      <w:r>
        <w:rPr>
          <w:sz w:val="22"/>
        </w:rPr>
        <w:t>The former Electricity Supplier will render a final bill to the Customer that will include Company charges.  Thirty days from the date of rendering the final bill, the Electricity Supplier will send an electronic transaction to BGE to return any unpaid charges.  The former Electricity Supplier will be responsible for the collection of its own charges. BGE will bill only charges for the new Electricity Supplier.</w:t>
      </w:r>
    </w:p>
    <w:p>
      <w:pPr>
        <w:pStyle w:val="Normal"/>
        <w:numPr>
          <w:ilvl w:val="1"/>
          <w:numId w:val="37"/>
        </w:numPr>
        <w:tabs>
          <w:tab w:val="clear" w:pos="720"/>
          <w:tab w:val="left" w:pos="-1800" w:leader="none"/>
          <w:tab w:val="left" w:pos="-1440" w:leader="none"/>
          <w:tab w:val="left" w:pos="-180" w:leader="none"/>
        </w:tabs>
        <w:ind w:hanging="360" w:start="720" w:end="0"/>
        <w:jc w:val="both"/>
        <w:rPr>
          <w:sz w:val="22"/>
        </w:rPr>
      </w:pPr>
      <w:r>
        <w:rPr>
          <w:b/>
          <w:sz w:val="22"/>
          <w:u w:val="single"/>
        </w:rPr>
        <w:t>Supplier Consolidated Billing, Customer switches Suppliers, chooses new Supplier as consolidated biller.</w:t>
      </w:r>
      <w:r>
        <w:rPr>
          <w:b/>
          <w:sz w:val="22"/>
        </w:rPr>
        <w:t xml:space="preserve">  </w:t>
      </w:r>
      <w:r>
        <w:rPr>
          <w:sz w:val="22"/>
        </w:rPr>
        <w:t>The former Electricity Supplier will render a final bill to the Customer that will include BGE’s arrearages, if any.  Thirty days from the date of rendering the final bill, the Electricity Supplier will send an electronic transaction to BGE to return any unpaid charges.  The former Electricity Supplier will be responsible for collection of its own charges.  BGE will transfer arrears related to regulated electric charges (via the first billing transaction) to be included on the new Electricity Supplier’s consolidated billing statement.</w:t>
      </w:r>
    </w:p>
    <w:p>
      <w:pPr>
        <w:pStyle w:val="BodyText3"/>
        <w:numPr>
          <w:ilvl w:val="1"/>
          <w:numId w:val="37"/>
        </w:numPr>
        <w:tabs>
          <w:tab w:val="clear" w:pos="720"/>
          <w:tab w:val="left" w:pos="-1800" w:leader="none"/>
          <w:tab w:val="left" w:pos="-1440" w:leader="none"/>
          <w:tab w:val="left" w:pos="-270" w:leader="none"/>
        </w:tabs>
        <w:ind w:hanging="360" w:start="720" w:end="0"/>
        <w:rPr>
          <w:sz w:val="22"/>
        </w:rPr>
      </w:pPr>
      <w:r>
        <w:rPr>
          <w:b/>
          <w:sz w:val="22"/>
          <w:u w:val="single"/>
        </w:rPr>
        <w:t>Supplier Consolidated Billing, Customer switches Suppliers, chooses Dual Billing</w:t>
      </w:r>
      <w:r>
        <w:rPr>
          <w:sz w:val="22"/>
        </w:rPr>
        <w:t>. The former Electricity Supplier will render a final bill to the Customer with BGE’s arrearages, if any.  Thirty days from the date of rendering the final bill, the Electricity Supplier will send an electronic transaction to BGE to return any unpaid charges.  The former Electricity Supplier will be responsible for collection of its own charges.  BGE will bill and collect its own charges, including any Company arrears that may have been on the former Electricity Supplier’s bill statement.</w:t>
      </w:r>
    </w:p>
    <w:p>
      <w:pPr>
        <w:pStyle w:val="BodyText3"/>
        <w:numPr>
          <w:ilvl w:val="1"/>
          <w:numId w:val="37"/>
        </w:numPr>
        <w:tabs>
          <w:tab w:val="clear" w:pos="720"/>
          <w:tab w:val="left" w:pos="-1800" w:leader="none"/>
          <w:tab w:val="left" w:pos="-1440" w:leader="none"/>
          <w:tab w:val="left" w:pos="-630" w:leader="none"/>
        </w:tabs>
        <w:ind w:hanging="360" w:start="720" w:end="0"/>
        <w:rPr>
          <w:sz w:val="22"/>
        </w:rPr>
      </w:pPr>
      <w:r>
        <w:rPr>
          <w:b/>
          <w:sz w:val="22"/>
          <w:u w:val="single"/>
        </w:rPr>
        <w:t>Supplier Consolidated Billing, Customer switches back to Default Service.</w:t>
      </w:r>
      <w:r>
        <w:rPr>
          <w:b/>
          <w:sz w:val="22"/>
        </w:rPr>
        <w:t xml:space="preserve">  </w:t>
      </w:r>
      <w:r>
        <w:rPr>
          <w:sz w:val="22"/>
        </w:rPr>
        <w:t>The former Electricity Supplier will render a final bill to the Customer with BGE’s arrearages, if any.  Thirty days from the date of rendering the final bill, the Electricity Supplier will send an electronic transaction to BGE to return any unpaid charges.  The former Electricity Supplier will be responsible for collection of its own charges.  BGE will bill and collect its own charges, including any Company arrears that may have been on the former Electricity Supplier’s bill statement.</w:t>
      </w:r>
    </w:p>
    <w:p>
      <w:pPr>
        <w:pStyle w:val="Normal"/>
        <w:numPr>
          <w:ilvl w:val="1"/>
          <w:numId w:val="37"/>
        </w:numPr>
        <w:tabs>
          <w:tab w:val="clear" w:pos="720"/>
          <w:tab w:val="left" w:pos="-1800" w:leader="none"/>
          <w:tab w:val="left" w:pos="-1440" w:leader="none"/>
        </w:tabs>
        <w:ind w:hanging="360" w:start="720" w:end="0"/>
        <w:jc w:val="both"/>
        <w:rPr>
          <w:sz w:val="22"/>
        </w:rPr>
      </w:pPr>
      <w:r>
        <w:rPr>
          <w:b/>
          <w:sz w:val="22"/>
          <w:u w:val="single"/>
        </w:rPr>
        <w:t>Supplier Consolidated Billing, Customer terminates service.</w:t>
      </w:r>
      <w:r>
        <w:rPr>
          <w:b/>
          <w:sz w:val="22"/>
        </w:rPr>
        <w:t xml:space="preserve">  </w:t>
      </w:r>
      <w:r>
        <w:rPr>
          <w:sz w:val="22"/>
        </w:rPr>
        <w:t>The Electricity Supplier will render a final bill to the Customer with BGE’s arrearages, if any.  Thirty days from the date of rendering the final bill, the Electricity Supplier will send an electronic transaction to BGE to return any unpaid charges.</w:t>
      </w:r>
    </w:p>
    <w:p>
      <w:pPr>
        <w:pStyle w:val="Normal"/>
        <w:numPr>
          <w:ilvl w:val="1"/>
          <w:numId w:val="37"/>
        </w:numPr>
        <w:tabs>
          <w:tab w:val="clear" w:pos="720"/>
          <w:tab w:val="left" w:pos="-1800" w:leader="none"/>
          <w:tab w:val="left" w:pos="-1440" w:leader="none"/>
        </w:tabs>
        <w:ind w:hanging="360" w:start="720" w:end="0"/>
        <w:jc w:val="both"/>
        <w:rPr>
          <w:sz w:val="22"/>
        </w:rPr>
      </w:pPr>
      <w:r>
        <w:rPr>
          <w:b/>
          <w:sz w:val="22"/>
          <w:u w:val="single"/>
        </w:rPr>
        <w:t>Company Consolidated Billing, Customer terminates service.</w:t>
      </w:r>
      <w:r>
        <w:rPr>
          <w:b/>
          <w:sz w:val="22"/>
        </w:rPr>
        <w:t xml:space="preserve">  </w:t>
      </w:r>
      <w:r>
        <w:rPr>
          <w:sz w:val="22"/>
        </w:rPr>
        <w:t>BGE will render a final bill to the Customer with the Electricity Supplier’s arrearages, if any.  Sixty days from the date of rendering the final bill, BGE will send an electronic transaction to the Electricity Supplier to return any unpaid charges.</w:t>
      </w:r>
    </w:p>
    <w:p>
      <w:pPr>
        <w:pStyle w:val="Normal"/>
        <w:numPr>
          <w:ilvl w:val="1"/>
          <w:numId w:val="37"/>
        </w:numPr>
        <w:tabs>
          <w:tab w:val="clear" w:pos="720"/>
          <w:tab w:val="left" w:pos="-1800" w:leader="none"/>
          <w:tab w:val="left" w:pos="-1440" w:leader="none"/>
        </w:tabs>
        <w:ind w:hanging="360" w:start="720" w:end="0"/>
        <w:jc w:val="both"/>
        <w:rPr>
          <w:sz w:val="22"/>
        </w:rPr>
      </w:pPr>
      <w:r>
        <w:rPr>
          <w:b/>
          <w:sz w:val="22"/>
          <w:u w:val="single"/>
        </w:rPr>
        <w:t>Company Consolidated Billing, Customer switches billing option to Supplier Consolidated Billing, stays with same Supplier.</w:t>
      </w:r>
      <w:r>
        <w:rPr>
          <w:sz w:val="22"/>
        </w:rPr>
        <w:t xml:space="preserve">  BGE will render a final bill to the Customer with the Electricity Supplier’s arrearages, if any.  Thirty days from the date of rendering the final bill, BGE will send an electronic transaction to the Electricity Supplier to return any unpaid charges.</w:t>
      </w:r>
    </w:p>
    <w:p>
      <w:pPr>
        <w:pStyle w:val="Normal"/>
        <w:numPr>
          <w:ilvl w:val="1"/>
          <w:numId w:val="37"/>
        </w:numPr>
        <w:tabs>
          <w:tab w:val="clear" w:pos="720"/>
          <w:tab w:val="left" w:pos="-1800" w:leader="none"/>
          <w:tab w:val="left" w:pos="-1440" w:leader="none"/>
        </w:tabs>
        <w:ind w:hanging="360" w:start="720" w:end="0"/>
        <w:jc w:val="both"/>
        <w:rPr>
          <w:sz w:val="22"/>
        </w:rPr>
      </w:pPr>
      <w:r>
        <w:rPr>
          <w:b/>
          <w:sz w:val="22"/>
          <w:u w:val="single"/>
        </w:rPr>
        <w:t>Company Consolidated Billing, Customer switches billing option to Dual Billing, stays with same Supplier.</w:t>
      </w:r>
      <w:r>
        <w:rPr>
          <w:b/>
          <w:sz w:val="22"/>
        </w:rPr>
        <w:t xml:space="preserve">  </w:t>
      </w:r>
      <w:r>
        <w:rPr>
          <w:sz w:val="22"/>
        </w:rPr>
        <w:t>BGE will render a final bill to the Customer with the Electricity Supplier’s arrearages, if any.  Thirty days from the date of rendering the final bill, BGE will send an electronic transaction to the Electricity Supplier to return any unpaid charges.</w:t>
      </w:r>
    </w:p>
    <w:p>
      <w:pPr>
        <w:pStyle w:val="Normal"/>
        <w:numPr>
          <w:ilvl w:val="1"/>
          <w:numId w:val="37"/>
        </w:numPr>
        <w:tabs>
          <w:tab w:val="clear" w:pos="720"/>
          <w:tab w:val="left" w:pos="-1800" w:leader="none"/>
          <w:tab w:val="left" w:pos="-1440" w:leader="none"/>
        </w:tabs>
        <w:ind w:hanging="360" w:start="720" w:end="0"/>
        <w:jc w:val="both"/>
        <w:rPr>
          <w:sz w:val="22"/>
        </w:rPr>
      </w:pPr>
      <w:r>
        <w:rPr>
          <w:b/>
          <w:sz w:val="22"/>
          <w:u w:val="single"/>
        </w:rPr>
        <w:t>Supplier Consolidated Billing, Customer switches billing option to Company Consolidated Billing, stays with same Supplier.</w:t>
      </w:r>
      <w:r>
        <w:rPr>
          <w:b/>
          <w:sz w:val="22"/>
        </w:rPr>
        <w:t xml:space="preserve">  </w:t>
      </w:r>
      <w:r>
        <w:rPr>
          <w:sz w:val="22"/>
        </w:rPr>
        <w:t>The Electricity Supplier will render a final bill to the Customer with BGE’s arrearages, if any.  Thirty days from the date of rendering the final bill, the Electricity Supplier will send an electronic transaction to BGE returning any unpaid charges.</w:t>
      </w:r>
    </w:p>
    <w:p>
      <w:pPr>
        <w:pStyle w:val="Normal"/>
        <w:numPr>
          <w:ilvl w:val="1"/>
          <w:numId w:val="37"/>
        </w:numPr>
        <w:tabs>
          <w:tab w:val="clear" w:pos="720"/>
          <w:tab w:val="left" w:pos="-1800" w:leader="none"/>
          <w:tab w:val="left" w:pos="-1440" w:leader="none"/>
        </w:tabs>
        <w:ind w:hanging="360" w:start="720" w:end="0"/>
        <w:jc w:val="both"/>
        <w:rPr>
          <w:sz w:val="22"/>
        </w:rPr>
      </w:pPr>
      <w:r>
        <w:rPr>
          <w:b/>
          <w:sz w:val="22"/>
          <w:u w:val="single"/>
        </w:rPr>
        <w:t>Supplier Consolidated Billing, Customer switches billing option to Dual Billing, stays with same Supplier.</w:t>
      </w:r>
      <w:r>
        <w:rPr>
          <w:b/>
          <w:sz w:val="22"/>
        </w:rPr>
        <w:t xml:space="preserve">  </w:t>
      </w:r>
      <w:r>
        <w:rPr>
          <w:sz w:val="22"/>
        </w:rPr>
        <w:t>The Electricity Supplier will render a final bill to the Customer with BGE’s arrearages, if any.  Thirty days from the date of rendering the final bill, the Electricity Supplier will send an electronic transaction to BGE returning any unpaid charges.</w:t>
      </w:r>
    </w:p>
    <w:p>
      <w:pPr>
        <w:pStyle w:val="Normal"/>
        <w:tabs>
          <w:tab w:val="clear" w:pos="720"/>
          <w:tab w:val="left" w:pos="1710" w:leader="none"/>
        </w:tabs>
        <w:jc w:val="both"/>
        <w:rPr>
          <w:sz w:val="22"/>
        </w:rPr>
      </w:pPr>
      <w:r>
        <w:rPr>
          <w:sz w:val="22"/>
        </w:rPr>
      </w:r>
    </w:p>
    <w:p>
      <w:pPr>
        <w:pStyle w:val="Heading3"/>
        <w:ind w:hanging="0" w:start="0"/>
        <w:jc w:val="both"/>
        <w:rPr/>
      </w:pPr>
      <w:r>
        <w:rPr/>
        <w:t>PAYMENT AND REMITTANCE</w:t>
      </w:r>
    </w:p>
    <w:p>
      <w:pPr>
        <w:pStyle w:val="Normal"/>
        <w:rPr/>
      </w:pPr>
      <w:r>
        <w:rPr/>
      </w:r>
    </w:p>
    <w:p>
      <w:pPr>
        <w:pStyle w:val="Heading2"/>
        <w:ind w:hanging="0" w:start="0"/>
        <w:rPr/>
      </w:pPr>
      <w:r>
        <w:rPr/>
        <w:t>Payment from the Consolidated Biller to the Non-billing Entity</w:t>
      </w:r>
      <w:r>
        <w:rPr>
          <w:u w:val="single"/>
        </w:rPr>
        <w:t xml:space="preserve"> </w:t>
      </w:r>
    </w:p>
    <w:p>
      <w:pPr>
        <w:pStyle w:val="Normal"/>
        <w:jc w:val="both"/>
        <w:rPr>
          <w:sz w:val="22"/>
        </w:rPr>
      </w:pPr>
      <w:r>
        <w:rPr>
          <w:sz w:val="22"/>
        </w:rPr>
        <w:t>The billing entity will make payments of funds payable to the non-billing entity via electronic payment with remittance advice to a bank designated by the non-billing entity.  Wire transfer of funds must be made per relevant Commission orders unless other terms are mutually agreed upon.  In the event payments are not made when due to the non-billing entity, the billing entity's billing option for Consolidated Billing may be terminated without notice.</w:t>
      </w:r>
    </w:p>
    <w:p>
      <w:pPr>
        <w:pStyle w:val="Normal"/>
        <w:jc w:val="both"/>
        <w:rPr>
          <w:sz w:val="22"/>
        </w:rPr>
      </w:pPr>
      <w:r>
        <w:rPr>
          <w:sz w:val="22"/>
        </w:rPr>
      </w:r>
    </w:p>
    <w:p>
      <w:pPr>
        <w:pStyle w:val="Heading2"/>
        <w:ind w:hanging="0" w:start="0"/>
        <w:rPr/>
      </w:pPr>
      <w:r>
        <w:rPr/>
        <w:t xml:space="preserve">Payment Posting  </w:t>
      </w:r>
    </w:p>
    <w:p>
      <w:pPr>
        <w:pStyle w:val="Normal"/>
        <w:jc w:val="both"/>
        <w:rPr/>
      </w:pPr>
      <w:r>
        <w:rPr>
          <w:sz w:val="22"/>
        </w:rPr>
        <w:t>Under the consolidated billing options, in the event of partial payment of a bill by a Customer, Customer remittance will be applied in accordance with Commission approved payment posting rules and regulations pertaining to payment posting for combination (gas and electric) bills.  In the event that a bank returns any Customer check, such debits will be applied in inverse order to the order set forth above.</w:t>
      </w:r>
      <w:r>
        <w:rPr>
          <w:b/>
          <w:sz w:val="22"/>
        </w:rPr>
        <w:t xml:space="preserve">  </w:t>
      </w:r>
      <w:r>
        <w:rPr>
          <w:sz w:val="22"/>
        </w:rPr>
        <w:t>The billing entity will correct any misapplied payments or transactions.  Further, the billing entity will provide the non-billing entity with an electronic file</w:t>
      </w:r>
      <w:r>
        <w:rPr/>
        <w:t xml:space="preserve"> consisting of Customer payments, and any returned </w:t>
      </w:r>
      <w:r>
        <w:rPr>
          <w:sz w:val="22"/>
        </w:rPr>
        <w:t>payments and/or adjustments.  Each party will assume its portion of any incremental costs associated with this electronic funds transfer.</w:t>
      </w:r>
    </w:p>
    <w:p>
      <w:pPr>
        <w:pStyle w:val="Normal"/>
        <w:jc w:val="both"/>
        <w:rPr>
          <w:sz w:val="22"/>
        </w:rPr>
      </w:pPr>
      <w:r>
        <w:rPr>
          <w:sz w:val="22"/>
        </w:rPr>
      </w:r>
    </w:p>
    <w:p>
      <w:pPr>
        <w:pStyle w:val="Normal"/>
        <w:numPr>
          <w:ilvl w:val="0"/>
          <w:numId w:val="38"/>
        </w:numPr>
        <w:tabs>
          <w:tab w:val="clear" w:pos="720"/>
        </w:tabs>
        <w:jc w:val="both"/>
        <w:rPr>
          <w:sz w:val="22"/>
        </w:rPr>
      </w:pPr>
      <w:r>
        <w:rPr>
          <w:sz w:val="22"/>
        </w:rPr>
        <w:t>BGE will use the following guidelines for posting payments</w:t>
      </w:r>
      <w:r>
        <w:fldChar w:fldCharType="begin"/>
      </w:r>
      <w:r>
        <w:rPr/>
        <w:instrText xml:space="preserve"> XE "payments" </w:instrText>
      </w:r>
      <w:r>
        <w:rPr/>
        <w:fldChar w:fldCharType="separate"/>
      </w:r>
      <w:r>
        <w:rPr/>
      </w:r>
      <w:r>
        <w:rPr/>
        <w:fldChar w:fldCharType="end"/>
      </w:r>
      <w:r>
        <w:rPr>
          <w:sz w:val="22"/>
        </w:rPr>
        <w:t xml:space="preserve"> in consolidated billing</w:t>
      </w:r>
      <w:r>
        <w:fldChar w:fldCharType="begin"/>
      </w:r>
      <w:r>
        <w:rPr/>
        <w:instrText xml:space="preserve"> XE "consolidated billing" </w:instrText>
      </w:r>
      <w:r>
        <w:rPr/>
        <w:fldChar w:fldCharType="separate"/>
      </w:r>
      <w:r>
        <w:rPr/>
      </w:r>
      <w:r>
        <w:rPr/>
        <w:fldChar w:fldCharType="end"/>
      </w:r>
      <w:r>
        <w:rPr>
          <w:sz w:val="22"/>
        </w:rPr>
        <w:t xml:space="preserve"> applications:</w:t>
      </w:r>
    </w:p>
    <w:p>
      <w:pPr>
        <w:pStyle w:val="Normal"/>
        <w:ind w:start="360" w:end="0"/>
        <w:jc w:val="both"/>
        <w:rPr>
          <w:sz w:val="22"/>
        </w:rPr>
      </w:pPr>
      <w:r>
        <w:rPr>
          <w:sz w:val="22"/>
        </w:rPr>
        <w:tab/>
        <w:tab/>
        <w:t>- LDC Gas Arrears</w:t>
      </w:r>
    </w:p>
    <w:p>
      <w:pPr>
        <w:pStyle w:val="Normal"/>
        <w:ind w:start="360" w:end="0"/>
        <w:jc w:val="both"/>
        <w:rPr>
          <w:sz w:val="22"/>
        </w:rPr>
      </w:pPr>
      <w:r>
        <w:rPr>
          <w:sz w:val="22"/>
        </w:rPr>
        <w:tab/>
        <w:tab/>
        <w:t>- LDC Electric Arrears</w:t>
      </w:r>
    </w:p>
    <w:p>
      <w:pPr>
        <w:pStyle w:val="Normal"/>
        <w:ind w:start="360" w:end="0"/>
        <w:jc w:val="both"/>
        <w:rPr>
          <w:sz w:val="22"/>
        </w:rPr>
      </w:pPr>
      <w:r>
        <w:rPr>
          <w:sz w:val="22"/>
        </w:rPr>
        <w:tab/>
        <w:tab/>
        <w:t>- Supplier Gas Arrears</w:t>
      </w:r>
    </w:p>
    <w:p>
      <w:pPr>
        <w:pStyle w:val="Normal"/>
        <w:ind w:start="360" w:end="0"/>
        <w:jc w:val="both"/>
        <w:rPr>
          <w:sz w:val="22"/>
        </w:rPr>
      </w:pPr>
      <w:r>
        <w:rPr>
          <w:sz w:val="22"/>
        </w:rPr>
        <w:tab/>
        <w:tab/>
        <w:t>- Supplier Electric Arrears</w:t>
      </w:r>
    </w:p>
    <w:p>
      <w:pPr>
        <w:pStyle w:val="Normal"/>
        <w:ind w:start="360" w:end="0"/>
        <w:jc w:val="both"/>
        <w:rPr>
          <w:sz w:val="22"/>
        </w:rPr>
      </w:pPr>
      <w:r>
        <w:rPr>
          <w:sz w:val="22"/>
        </w:rPr>
        <w:tab/>
        <w:tab/>
        <w:t>- LDC Current Gas Charges</w:t>
      </w:r>
    </w:p>
    <w:p>
      <w:pPr>
        <w:pStyle w:val="Header"/>
        <w:widowControl/>
        <w:tabs>
          <w:tab w:val="clear" w:pos="4320"/>
          <w:tab w:val="clear" w:pos="8640"/>
        </w:tabs>
        <w:ind w:start="360" w:end="0"/>
        <w:jc w:val="both"/>
        <w:rPr>
          <w:sz w:val="22"/>
        </w:rPr>
      </w:pPr>
      <w:r>
        <w:rPr>
          <w:sz w:val="22"/>
        </w:rPr>
        <w:tab/>
        <w:tab/>
        <w:t>- LDC Current Electric Charges</w:t>
      </w:r>
    </w:p>
    <w:p>
      <w:pPr>
        <w:pStyle w:val="Normal"/>
        <w:ind w:start="360" w:end="0"/>
        <w:jc w:val="both"/>
        <w:rPr>
          <w:sz w:val="22"/>
        </w:rPr>
      </w:pPr>
      <w:r>
        <w:rPr>
          <w:sz w:val="22"/>
        </w:rPr>
        <w:tab/>
        <w:tab/>
        <w:t>- Supplier Current Gas Charges</w:t>
      </w:r>
    </w:p>
    <w:p>
      <w:pPr>
        <w:pStyle w:val="Normal"/>
        <w:ind w:start="360" w:end="0"/>
        <w:jc w:val="both"/>
        <w:rPr>
          <w:sz w:val="22"/>
        </w:rPr>
      </w:pPr>
      <w:r>
        <w:rPr>
          <w:sz w:val="22"/>
        </w:rPr>
        <w:tab/>
        <w:tab/>
        <w:t>- Supplier Current Electric Charges</w:t>
      </w:r>
    </w:p>
    <w:p>
      <w:pPr>
        <w:pStyle w:val="Normal"/>
        <w:ind w:start="360" w:end="0"/>
        <w:jc w:val="both"/>
        <w:rPr>
          <w:sz w:val="22"/>
        </w:rPr>
      </w:pPr>
      <w:r>
        <w:rPr>
          <w:sz w:val="22"/>
        </w:rPr>
        <w:tab/>
        <w:tab/>
        <w:t>- Value Added Services Arrears</w:t>
      </w:r>
    </w:p>
    <w:p>
      <w:pPr>
        <w:pStyle w:val="Normal"/>
        <w:ind w:start="360" w:end="0"/>
        <w:jc w:val="both"/>
        <w:rPr>
          <w:sz w:val="22"/>
        </w:rPr>
      </w:pPr>
      <w:r>
        <w:rPr>
          <w:sz w:val="22"/>
        </w:rPr>
        <w:tab/>
        <w:tab/>
        <w:t>- Value Added Services Current</w:t>
      </w:r>
    </w:p>
    <w:p>
      <w:pPr>
        <w:pStyle w:val="Normal"/>
        <w:jc w:val="both"/>
        <w:rPr>
          <w:sz w:val="22"/>
        </w:rPr>
      </w:pPr>
      <w:r>
        <w:rPr>
          <w:sz w:val="22"/>
        </w:rPr>
      </w:r>
    </w:p>
    <w:p>
      <w:pPr>
        <w:pStyle w:val="Heading2"/>
        <w:ind w:hanging="0" w:start="0"/>
        <w:rPr/>
      </w:pPr>
      <w:r>
        <w:rPr/>
        <w:t xml:space="preserve">Credit and Collections </w:t>
      </w:r>
    </w:p>
    <w:p>
      <w:pPr>
        <w:pStyle w:val="Normal"/>
        <w:jc w:val="both"/>
        <w:rPr>
          <w:sz w:val="22"/>
        </w:rPr>
      </w:pPr>
      <w:r>
        <w:rPr>
          <w:sz w:val="22"/>
        </w:rPr>
        <w:t>BGE will follow its current credit and collection policies for collections.  Outstanding prior balances are not transferred when a Customer switches from BGE to an Electricity Supplier, switches from one Electricity Supplier to another, switches from an Electricity Supplier to Standard Offer Service or when the Customer chooses another billing option, unless mutually agreed to by BGE and the individual Electricity Supplier.</w:t>
      </w:r>
    </w:p>
    <w:p>
      <w:pPr>
        <w:pStyle w:val="Normal"/>
        <w:jc w:val="both"/>
        <w:rPr>
          <w:sz w:val="22"/>
        </w:rPr>
      </w:pPr>
      <w:r>
        <w:rPr>
          <w:sz w:val="22"/>
        </w:rPr>
      </w:r>
    </w:p>
    <w:p>
      <w:pPr>
        <w:pStyle w:val="Heading3"/>
        <w:ind w:hanging="0" w:start="0"/>
        <w:rPr/>
      </w:pPr>
      <w:r>
        <w:rPr/>
        <w:t>TAXES</w:t>
      </w:r>
    </w:p>
    <w:p>
      <w:pPr>
        <w:pStyle w:val="BodyText3"/>
        <w:rPr>
          <w:sz w:val="22"/>
        </w:rPr>
      </w:pPr>
      <w:r>
        <w:rPr>
          <w:sz w:val="22"/>
        </w:rPr>
        <w:t>The entity that originates the charge (seller) shall remit, file and is liable for taxes applicable to its charges.  The billing entity shall present and collect the tax, report taxes as billed, and return the taxes collected to the seller.</w:t>
      </w:r>
    </w:p>
    <w:p>
      <w:pPr>
        <w:pStyle w:val="Normal"/>
        <w:numPr>
          <w:ilvl w:val="0"/>
          <w:numId w:val="6"/>
        </w:numPr>
        <w:jc w:val="both"/>
        <w:rPr>
          <w:sz w:val="22"/>
        </w:rPr>
      </w:pPr>
      <w:r>
        <w:rPr>
          <w:b/>
          <w:sz w:val="22"/>
          <w:u w:val="single"/>
        </w:rPr>
        <w:t>BGE Tax Responsibilities.</w:t>
      </w:r>
      <w:r>
        <w:rPr>
          <w:sz w:val="22"/>
        </w:rPr>
        <w:t xml:space="preserve">  BGE is responsible for calculation, collection, and remittance of gross receipt taxes, franchise tax on delivery service, and State and local energy taxes assessed on delivery service or other products and services provided by BGE.</w:t>
      </w:r>
    </w:p>
    <w:p>
      <w:pPr>
        <w:pStyle w:val="BodyTextIndent2"/>
        <w:numPr>
          <w:ilvl w:val="0"/>
          <w:numId w:val="6"/>
        </w:numPr>
        <w:tabs>
          <w:tab w:val="clear" w:pos="720"/>
          <w:tab w:val="left" w:pos="1620" w:leader="none"/>
        </w:tabs>
        <w:rPr>
          <w:b/>
          <w:sz w:val="22"/>
        </w:rPr>
      </w:pPr>
      <w:r>
        <w:rPr>
          <w:b/>
          <w:sz w:val="22"/>
          <w:u w:val="single"/>
        </w:rPr>
        <w:t>Supplier Tax Responsibilities.</w:t>
      </w:r>
      <w:r>
        <w:rPr>
          <w:sz w:val="22"/>
        </w:rPr>
        <w:t xml:space="preserve">  The Electricity Supplier is responsible for calculation, collection, and remittance of State and local energy taxes assessed on all products and services provided by the Electricity Supplier.</w:t>
      </w:r>
    </w:p>
    <w:p>
      <w:pPr>
        <w:pStyle w:val="BodyTextIndent2"/>
        <w:numPr>
          <w:ilvl w:val="0"/>
          <w:numId w:val="6"/>
        </w:numPr>
        <w:tabs>
          <w:tab w:val="clear" w:pos="720"/>
          <w:tab w:val="left" w:pos="1620" w:leader="none"/>
        </w:tabs>
        <w:rPr>
          <w:b/>
          <w:sz w:val="22"/>
        </w:rPr>
      </w:pPr>
      <w:r>
        <w:rPr>
          <w:b/>
          <w:sz w:val="22"/>
          <w:u w:val="single"/>
        </w:rPr>
        <w:t>Tax Exemptions.</w:t>
      </w:r>
      <w:r>
        <w:rPr>
          <w:b/>
          <w:sz w:val="22"/>
        </w:rPr>
        <w:t xml:space="preserve">  </w:t>
      </w:r>
      <w:r>
        <w:rPr>
          <w:sz w:val="22"/>
        </w:rPr>
        <w:t>Where Customers are exempt from taxes, it is the responsibility of both BGE and the Electricity Supplier to separately procure any required tax exemption certificates from the Customer.</w:t>
      </w:r>
    </w:p>
    <w:p>
      <w:pPr>
        <w:pStyle w:val="Normal"/>
        <w:jc w:val="both"/>
        <w:rPr>
          <w:b/>
          <w:sz w:val="22"/>
        </w:rPr>
      </w:pPr>
      <w:r>
        <w:rPr>
          <w:b/>
          <w:sz w:val="22"/>
        </w:rPr>
      </w:r>
      <w:r>
        <w:br w:type="page"/>
      </w:r>
    </w:p>
    <w:p>
      <w:pPr>
        <w:pStyle w:val="Normal"/>
        <w:jc w:val="both"/>
        <w:rPr/>
      </w:pPr>
      <w:r>
        <w:rPr/>
      </w:r>
    </w:p>
    <w:p>
      <w:pPr>
        <w:pStyle w:val="Heading3"/>
        <w:ind w:hanging="0" w:start="0"/>
        <w:rPr/>
      </w:pPr>
      <w:r>
        <w:rPr/>
        <w:t xml:space="preserve">DELIVERY SERVICES </w:t>
      </w:r>
    </w:p>
    <w:p>
      <w:pPr>
        <w:pStyle w:val="Heading2"/>
        <w:ind w:hanging="0" w:start="0"/>
        <w:rPr>
          <w:sz w:val="22"/>
        </w:rPr>
      </w:pPr>
      <w:r>
        <w:rPr>
          <w:sz w:val="22"/>
        </w:rPr>
        <w:t>UTILIZATION OF SCHEDULING COORDINATORS</w:t>
      </w:r>
    </w:p>
    <w:p>
      <w:pPr>
        <w:pStyle w:val="Normal"/>
        <w:numPr>
          <w:ilvl w:val="0"/>
          <w:numId w:val="16"/>
        </w:numPr>
        <w:jc w:val="both"/>
        <w:rPr>
          <w:sz w:val="22"/>
        </w:rPr>
      </w:pPr>
      <w:r>
        <w:rPr>
          <w:sz w:val="22"/>
        </w:rPr>
        <w:t>An Electricity Supplier is responsible for performing the responsibilities and obligations provided but may elect to perform certain functions through a Scheduling Coordinator.  To the extent an Electricity Supplier so elects, it becomes a Coordinated Electricity Supplier.  A Coordinated Electricity Supplier may retain more than one Scheduling Coordinator with BGE at any time.  An Electricity Supplier may become a Coordinated Electricity Supplier by entering into a business arrangement with another Electricity Supplier or other entity that will act as a Scheduling Coordinator.  A Coordinated Electricity Supplier must enter into this business arrangement with a Scheduling Coordinator for all the Electricity Supplier’s responsibilities, including transmission obligation, unforced capacity obligation, import capability, load scheduling, and reconciliation rights and responsibilities. The Scheduling Coordinator is responsible for meeting all of the requirements of PJM that may be necessary in order to carry out its responsibilities.  All actions of the Scheduling Coordinator on behalf of the Electricity Supplier are binding on, and attributable to, the Electricity Supplier, whether such actions were or were not authorized by the Electricity Supplier.</w:t>
      </w:r>
    </w:p>
    <w:p>
      <w:pPr>
        <w:pStyle w:val="Normal"/>
        <w:jc w:val="both"/>
        <w:rPr>
          <w:sz w:val="22"/>
        </w:rPr>
      </w:pPr>
      <w:r>
        <w:rPr>
          <w:sz w:val="22"/>
        </w:rPr>
      </w:r>
    </w:p>
    <w:p>
      <w:pPr>
        <w:pStyle w:val="ListBullet2"/>
        <w:numPr>
          <w:ilvl w:val="0"/>
          <w:numId w:val="16"/>
        </w:numPr>
        <w:jc w:val="both"/>
        <w:rPr>
          <w:color w:val="auto"/>
          <w:sz w:val="22"/>
        </w:rPr>
      </w:pPr>
      <w:r>
        <w:rPr>
          <w:color w:val="auto"/>
          <w:sz w:val="22"/>
        </w:rPr>
        <w:t>Before a Supplier begins to do business with BGE, a Retail contract between the Supplier and BGE needs to be set up in the PJM</w:t>
      </w:r>
      <w:r>
        <w:fldChar w:fldCharType="begin"/>
      </w:r>
      <w:r>
        <w:rPr/>
        <w:instrText xml:space="preserve"> XE "PJM" </w:instrText>
      </w:r>
      <w:r>
        <w:rPr/>
        <w:fldChar w:fldCharType="separate"/>
      </w:r>
      <w:r>
        <w:rPr/>
      </w:r>
      <w:r>
        <w:rPr/>
        <w:fldChar w:fldCharType="end"/>
      </w:r>
      <w:r>
        <w:rPr>
          <w:color w:val="auto"/>
          <w:sz w:val="22"/>
        </w:rPr>
        <w:t xml:space="preserve"> eSchedule</w:t>
      </w:r>
      <w:r>
        <w:fldChar w:fldCharType="begin"/>
      </w:r>
      <w:r>
        <w:rPr/>
        <w:instrText xml:space="preserve"> XE "eSchedule" </w:instrText>
      </w:r>
      <w:r>
        <w:rPr/>
        <w:fldChar w:fldCharType="separate"/>
      </w:r>
      <w:r>
        <w:rPr/>
      </w:r>
      <w:r>
        <w:rPr/>
        <w:fldChar w:fldCharType="end"/>
      </w:r>
      <w:r>
        <w:rPr>
          <w:color w:val="auto"/>
          <w:sz w:val="22"/>
        </w:rPr>
        <w:t xml:space="preserve"> system.  There is no “signed” PJM contract.  BGE will report the load obligation</w:t>
      </w:r>
      <w:r>
        <w:fldChar w:fldCharType="begin"/>
      </w:r>
      <w:r>
        <w:rPr/>
        <w:instrText xml:space="preserve"> XE "load obligation" </w:instrText>
      </w:r>
      <w:r>
        <w:rPr/>
        <w:fldChar w:fldCharType="separate"/>
      </w:r>
      <w:r>
        <w:rPr/>
      </w:r>
      <w:r>
        <w:rPr/>
        <w:fldChar w:fldCharType="end"/>
      </w:r>
      <w:r>
        <w:rPr>
          <w:color w:val="auto"/>
          <w:sz w:val="22"/>
        </w:rPr>
        <w:t xml:space="preserve"> associated with the Supplier to PJM using a contract ID specific to the Supplier.  The “contract ID” or number is PJM nomenclature for the mechanism to report the load obligations</w:t>
      </w:r>
      <w:r>
        <w:fldChar w:fldCharType="begin"/>
      </w:r>
      <w:r>
        <w:rPr/>
        <w:instrText xml:space="preserve"> XE "load obligations" </w:instrText>
      </w:r>
      <w:r>
        <w:rPr/>
        <w:fldChar w:fldCharType="separate"/>
      </w:r>
      <w:r>
        <w:rPr/>
      </w:r>
      <w:r>
        <w:rPr/>
        <w:fldChar w:fldCharType="end"/>
      </w:r>
      <w:r>
        <w:rPr>
          <w:color w:val="auto"/>
          <w:sz w:val="22"/>
        </w:rPr>
        <w:t xml:space="preserve"> of a specific party via PJM’s eSchedule system.  (Note that when the Supplier has more than one Scheduling Coordinator</w:t>
      </w:r>
      <w:r>
        <w:fldChar w:fldCharType="begin"/>
      </w:r>
      <w:r>
        <w:rPr/>
        <w:instrText xml:space="preserve"> XE "Scheduling Coordinator" </w:instrText>
      </w:r>
      <w:r>
        <w:rPr/>
        <w:fldChar w:fldCharType="separate"/>
      </w:r>
      <w:r>
        <w:rPr/>
      </w:r>
      <w:r>
        <w:rPr/>
        <w:fldChar w:fldCharType="end"/>
      </w:r>
      <w:r>
        <w:rPr>
          <w:color w:val="auto"/>
          <w:sz w:val="22"/>
        </w:rPr>
        <w:t xml:space="preserve">, there will be a separate contract ID number for each of the Supplier/Scheduling Coordinator relationships.)  The PJM eSchedule system has a check off block for both parties to approve the contract.  The contract does no more than to state that the two parties are willing to do business with each other from a start to an end date. </w:t>
      </w:r>
    </w:p>
    <w:p>
      <w:pPr>
        <w:pStyle w:val="ListBullet2"/>
        <w:ind w:hanging="0" w:start="0" w:end="0"/>
        <w:jc w:val="both"/>
        <w:rPr>
          <w:color w:val="auto"/>
          <w:sz w:val="22"/>
        </w:rPr>
      </w:pPr>
      <w:r>
        <w:rPr>
          <w:color w:val="auto"/>
          <w:sz w:val="22"/>
        </w:rPr>
      </w:r>
    </w:p>
    <w:p>
      <w:pPr>
        <w:pStyle w:val="ListBullet2"/>
        <w:numPr>
          <w:ilvl w:val="0"/>
          <w:numId w:val="16"/>
        </w:numPr>
        <w:jc w:val="both"/>
        <w:rPr>
          <w:color w:val="auto"/>
          <w:sz w:val="22"/>
        </w:rPr>
      </w:pPr>
      <w:r>
        <w:rPr>
          <w:color w:val="auto"/>
          <w:sz w:val="22"/>
        </w:rPr>
        <w:t>PJM</w:t>
      </w:r>
      <w:r>
        <w:fldChar w:fldCharType="begin"/>
      </w:r>
      <w:r>
        <w:rPr/>
        <w:instrText xml:space="preserve"> XE "PJM" </w:instrText>
      </w:r>
      <w:r>
        <w:rPr/>
        <w:fldChar w:fldCharType="separate"/>
      </w:r>
      <w:r>
        <w:rPr/>
      </w:r>
      <w:r>
        <w:rPr/>
        <w:fldChar w:fldCharType="end"/>
      </w:r>
      <w:r>
        <w:rPr>
          <w:color w:val="auto"/>
          <w:sz w:val="22"/>
        </w:rPr>
        <w:t xml:space="preserve"> requests that the contract date be one (1) year or less.  The two parties can access the contract and extend the end date of the contract from time to time.  Extending the end date does not change the PJM Contract Number that the eSchedule</w:t>
      </w:r>
      <w:r>
        <w:fldChar w:fldCharType="begin"/>
      </w:r>
      <w:r>
        <w:rPr/>
        <w:instrText xml:space="preserve"> XE "eSchedule" </w:instrText>
      </w:r>
      <w:r>
        <w:rPr/>
        <w:fldChar w:fldCharType="separate"/>
      </w:r>
      <w:r>
        <w:rPr/>
      </w:r>
      <w:r>
        <w:rPr/>
        <w:fldChar w:fldCharType="end"/>
      </w:r>
      <w:r>
        <w:rPr>
          <w:color w:val="auto"/>
          <w:sz w:val="22"/>
        </w:rPr>
        <w:t xml:space="preserve"> system automatically assigns.  The start date will be the date the contract is put into eSchedule.</w:t>
      </w:r>
    </w:p>
    <w:p>
      <w:pPr>
        <w:pStyle w:val="ListBullet2"/>
        <w:ind w:hanging="0" w:start="0" w:end="0"/>
        <w:jc w:val="both"/>
        <w:rPr>
          <w:color w:val="auto"/>
          <w:sz w:val="22"/>
        </w:rPr>
      </w:pPr>
      <w:r>
        <w:rPr>
          <w:color w:val="auto"/>
          <w:sz w:val="22"/>
        </w:rPr>
      </w:r>
    </w:p>
    <w:p>
      <w:pPr>
        <w:pStyle w:val="Star2"/>
        <w:numPr>
          <w:ilvl w:val="0"/>
          <w:numId w:val="16"/>
        </w:numPr>
        <w:jc w:val="both"/>
        <w:rPr>
          <w:b w:val="false"/>
          <w:u w:val="none"/>
        </w:rPr>
      </w:pPr>
      <w:r>
        <w:rPr>
          <w:b w:val="false"/>
          <w:u w:val="none"/>
        </w:rPr>
        <w:t>This contract does not obligate either party to any specific energy, capacity, or transmission obligations.  That will be done with the “Daily” eSchedule</w:t>
      </w:r>
      <w:r>
        <w:fldChar w:fldCharType="begin"/>
      </w:r>
      <w:r>
        <w:rPr/>
        <w:instrText xml:space="preserve"> XE "eSchedule" </w:instrText>
      </w:r>
      <w:r>
        <w:rPr/>
        <w:fldChar w:fldCharType="separate"/>
      </w:r>
      <w:r>
        <w:rPr/>
      </w:r>
      <w:r>
        <w:rPr/>
        <w:fldChar w:fldCharType="end"/>
      </w:r>
      <w:r>
        <w:rPr>
          <w:b w:val="false"/>
          <w:u w:val="none"/>
        </w:rPr>
        <w:t xml:space="preserve"> and eCapacity reports from LoadVision to PJM</w:t>
      </w:r>
      <w:r>
        <w:fldChar w:fldCharType="begin"/>
      </w:r>
      <w:r>
        <w:rPr/>
        <w:instrText xml:space="preserve"> XE "PJM" </w:instrText>
      </w:r>
      <w:r>
        <w:rPr/>
        <w:fldChar w:fldCharType="separate"/>
      </w:r>
      <w:r>
        <w:rPr/>
      </w:r>
      <w:r>
        <w:rPr/>
        <w:fldChar w:fldCharType="end"/>
      </w:r>
      <w:r>
        <w:rPr>
          <w:b w:val="false"/>
          <w:u w:val="none"/>
        </w:rPr>
        <w:t xml:space="preserve"> for each active Supplier.</w:t>
      </w:r>
    </w:p>
    <w:p>
      <w:pPr>
        <w:pStyle w:val="Star2"/>
        <w:jc w:val="both"/>
        <w:rPr>
          <w:b w:val="false"/>
          <w:u w:val="none"/>
        </w:rPr>
      </w:pPr>
      <w:r>
        <w:rPr>
          <w:b w:val="false"/>
          <w:u w:val="none"/>
        </w:rPr>
      </w:r>
    </w:p>
    <w:p>
      <w:pPr>
        <w:pStyle w:val="Normal"/>
        <w:numPr>
          <w:ilvl w:val="0"/>
          <w:numId w:val="16"/>
        </w:numPr>
        <w:jc w:val="both"/>
        <w:rPr>
          <w:b/>
          <w:i/>
          <w:i/>
          <w:sz w:val="22"/>
        </w:rPr>
      </w:pPr>
      <w:r>
        <w:rPr>
          <w:sz w:val="22"/>
        </w:rPr>
        <w:t xml:space="preserve">For each Scheduling Coordinator designated, the Electricity Supplier must provide BGE with a completed Scheduling Coordinator Designation Form fully executed by both the Electricity Supplier and the Scheduling Coordinator. </w:t>
      </w:r>
    </w:p>
    <w:p>
      <w:pPr>
        <w:pStyle w:val="Normal"/>
        <w:jc w:val="both"/>
        <w:rPr>
          <w:b/>
          <w:i/>
          <w:i/>
          <w:sz w:val="22"/>
        </w:rPr>
      </w:pPr>
      <w:r>
        <w:rPr>
          <w:b/>
          <w:i/>
          <w:sz w:val="22"/>
        </w:rPr>
      </w:r>
    </w:p>
    <w:p>
      <w:pPr>
        <w:pStyle w:val="Normal"/>
        <w:numPr>
          <w:ilvl w:val="0"/>
          <w:numId w:val="16"/>
        </w:numPr>
        <w:jc w:val="both"/>
        <w:rPr>
          <w:sz w:val="22"/>
        </w:rPr>
      </w:pPr>
      <w:r>
        <w:rPr>
          <w:sz w:val="22"/>
        </w:rPr>
        <w:t>The Electricity Supplier shall notify BGE in writing if it changes or adds Scheduling Coordinators or ceases to be a Coordinated Electricity Supplier or ceases to provide scheduling coordination on its own behalf and said notice shall specify the effective month of the change or termination.  To change Scheduling Coordinators, please complete a new</w:t>
      </w:r>
      <w:r>
        <w:rPr>
          <w:b/>
          <w:sz w:val="22"/>
        </w:rPr>
        <w:t xml:space="preserve"> Scheduling Coordinator</w:t>
      </w:r>
      <w:r>
        <w:fldChar w:fldCharType="begin"/>
      </w:r>
      <w:r>
        <w:rPr/>
        <w:instrText xml:space="preserve"> XE "Scheduling Coordinator" </w:instrText>
      </w:r>
      <w:r>
        <w:rPr/>
        <w:fldChar w:fldCharType="separate"/>
      </w:r>
      <w:r>
        <w:rPr/>
      </w:r>
      <w:r>
        <w:rPr/>
        <w:fldChar w:fldCharType="end"/>
      </w:r>
      <w:r>
        <w:rPr>
          <w:b/>
          <w:sz w:val="22"/>
        </w:rPr>
        <w:t xml:space="preserve"> Designation Form </w:t>
      </w:r>
      <w:r>
        <w:rPr>
          <w:sz w:val="22"/>
        </w:rPr>
        <w:t xml:space="preserve">and submit to Supplier Account Management. </w:t>
      </w:r>
    </w:p>
    <w:p>
      <w:pPr>
        <w:pStyle w:val="Normal"/>
        <w:jc w:val="both"/>
        <w:rPr>
          <w:sz w:val="22"/>
        </w:rPr>
      </w:pPr>
      <w:r>
        <w:rPr>
          <w:sz w:val="22"/>
        </w:rPr>
      </w:r>
    </w:p>
    <w:p>
      <w:pPr>
        <w:pStyle w:val="Normal"/>
        <w:numPr>
          <w:ilvl w:val="0"/>
          <w:numId w:val="16"/>
        </w:numPr>
        <w:jc w:val="both"/>
        <w:rPr>
          <w:sz w:val="22"/>
        </w:rPr>
      </w:pPr>
      <w:r>
        <w:rPr>
          <w:sz w:val="22"/>
        </w:rPr>
        <w:t>Coordinated Electricity Suppliers cannot submit individual load schedules to the PJM OI, nor can Coordinated Electricity Suppliers propose scheduling changes on an individual basis.  Rather, the Scheduling Coordinator is responsible for submitting all schedules and changes thereto on behalf of itself as well as its Coordinated Electricity Suppliers.</w:t>
      </w:r>
    </w:p>
    <w:p>
      <w:pPr>
        <w:pStyle w:val="Normal"/>
        <w:jc w:val="both"/>
        <w:rPr>
          <w:sz w:val="22"/>
        </w:rPr>
      </w:pPr>
      <w:r>
        <w:rPr>
          <w:sz w:val="22"/>
        </w:rPr>
      </w:r>
    </w:p>
    <w:p>
      <w:pPr>
        <w:pStyle w:val="Normal"/>
        <w:numPr>
          <w:ilvl w:val="0"/>
          <w:numId w:val="16"/>
        </w:numPr>
        <w:jc w:val="both"/>
        <w:rPr>
          <w:sz w:val="22"/>
        </w:rPr>
      </w:pPr>
      <w:r>
        <w:rPr>
          <w:sz w:val="22"/>
        </w:rPr>
        <w:t>Notwithstanding any designation of a Scheduling Coordinator, the Electricity Supplier remains responsible for fulfilling all of its obligations and requirements under the BGE Tariff.</w:t>
      </w:r>
    </w:p>
    <w:p>
      <w:pPr>
        <w:pStyle w:val="Normal"/>
        <w:ind w:start="360" w:end="0"/>
        <w:jc w:val="both"/>
        <w:rPr>
          <w:sz w:val="22"/>
        </w:rPr>
      </w:pPr>
      <w:r>
        <w:rPr>
          <w:sz w:val="22"/>
        </w:rPr>
      </w:r>
    </w:p>
    <w:p>
      <w:pPr>
        <w:pStyle w:val="Heading2"/>
        <w:ind w:hanging="0" w:start="0"/>
        <w:jc w:val="both"/>
        <w:rPr>
          <w:sz w:val="22"/>
        </w:rPr>
      </w:pPr>
      <w:r>
        <w:rPr>
          <w:sz w:val="22"/>
        </w:rPr>
        <w:t>LOAD PROFILES</w:t>
      </w:r>
    </w:p>
    <w:p>
      <w:pPr>
        <w:pStyle w:val="Normal"/>
        <w:numPr>
          <w:ilvl w:val="0"/>
          <w:numId w:val="27"/>
        </w:numPr>
        <w:jc w:val="both"/>
        <w:rPr>
          <w:sz w:val="22"/>
        </w:rPr>
      </w:pPr>
      <w:r>
        <w:rPr>
          <w:sz w:val="22"/>
        </w:rPr>
        <w:t>BGE will provide load profiles for certain subclasses within selected rate classes.  BGE will file its load profiling</w:t>
      </w:r>
      <w:r>
        <w:fldChar w:fldCharType="begin"/>
      </w:r>
      <w:r>
        <w:rPr/>
        <w:instrText xml:space="preserve"> XE "load profiling" </w:instrText>
      </w:r>
      <w:r>
        <w:rPr/>
        <w:fldChar w:fldCharType="separate"/>
      </w:r>
      <w:r>
        <w:rPr/>
      </w:r>
      <w:r>
        <w:rPr/>
        <w:fldChar w:fldCharType="end"/>
      </w:r>
      <w:r>
        <w:rPr>
          <w:sz w:val="22"/>
        </w:rPr>
        <w:t xml:space="preserve"> methodology, as it is updated from time to time, with the Commission for approval.  All load profiles and guidelines necessary to allocate energy will be made available to the Supplier on BGE’s Supplier web site.  PLC</w:t>
      </w:r>
      <w:r>
        <w:fldChar w:fldCharType="begin"/>
      </w:r>
      <w:r>
        <w:rPr/>
        <w:instrText xml:space="preserve"> XE "PLC" </w:instrText>
      </w:r>
      <w:r>
        <w:rPr/>
        <w:fldChar w:fldCharType="separate"/>
      </w:r>
      <w:r>
        <w:rPr/>
      </w:r>
      <w:r>
        <w:rPr/>
        <w:fldChar w:fldCharType="end"/>
      </w:r>
      <w:r>
        <w:rPr>
          <w:sz w:val="22"/>
        </w:rPr>
        <w:t xml:space="preserve"> and Transmission obligations will be available on pre-enrollment historical usage reports and sent via EDI when the Supplier enrolls the customer.</w:t>
      </w:r>
    </w:p>
    <w:p>
      <w:pPr>
        <w:pStyle w:val="Normal"/>
        <w:ind w:start="360" w:end="0"/>
        <w:jc w:val="both"/>
        <w:rPr>
          <w:sz w:val="22"/>
        </w:rPr>
      </w:pPr>
      <w:r>
        <w:rPr>
          <w:sz w:val="22"/>
        </w:rPr>
      </w:r>
    </w:p>
    <w:p>
      <w:pPr>
        <w:pStyle w:val="Normal"/>
        <w:numPr>
          <w:ilvl w:val="0"/>
          <w:numId w:val="54"/>
        </w:numPr>
        <w:jc w:val="both"/>
        <w:rPr>
          <w:sz w:val="22"/>
        </w:rPr>
      </w:pPr>
      <w:r>
        <w:rPr>
          <w:sz w:val="22"/>
        </w:rPr>
        <w:t>If BGE changes its load profiling</w:t>
      </w:r>
      <w:r>
        <w:fldChar w:fldCharType="begin"/>
      </w:r>
      <w:r>
        <w:rPr/>
        <w:instrText xml:space="preserve"> XE "load profiling" </w:instrText>
      </w:r>
      <w:r>
        <w:rPr/>
        <w:fldChar w:fldCharType="separate"/>
      </w:r>
      <w:r>
        <w:rPr/>
      </w:r>
      <w:r>
        <w:rPr/>
        <w:fldChar w:fldCharType="end"/>
      </w:r>
      <w:r>
        <w:rPr>
          <w:sz w:val="22"/>
        </w:rPr>
        <w:t xml:space="preserve"> methodology, BGE’s Supplier Account Management group will send users an e-mail advising the Supplier of such.</w:t>
      </w:r>
    </w:p>
    <w:p>
      <w:pPr>
        <w:pStyle w:val="Normal"/>
        <w:ind w:start="360" w:end="0"/>
        <w:jc w:val="both"/>
        <w:rPr>
          <w:sz w:val="22"/>
        </w:rPr>
      </w:pPr>
      <w:r>
        <w:rPr>
          <w:sz w:val="22"/>
        </w:rPr>
      </w:r>
    </w:p>
    <w:p>
      <w:pPr>
        <w:pStyle w:val="Normal"/>
        <w:numPr>
          <w:ilvl w:val="0"/>
          <w:numId w:val="54"/>
        </w:numPr>
        <w:jc w:val="both"/>
        <w:rPr>
          <w:sz w:val="22"/>
        </w:rPr>
      </w:pPr>
      <w:r>
        <w:rPr>
          <w:sz w:val="22"/>
        </w:rPr>
        <w:t>Load profiles</w:t>
      </w:r>
      <w:r>
        <w:fldChar w:fldCharType="begin"/>
      </w:r>
      <w:r>
        <w:rPr/>
        <w:instrText xml:space="preserve"> XE "Load profiles" </w:instrText>
      </w:r>
      <w:r>
        <w:rPr/>
        <w:fldChar w:fldCharType="separate"/>
      </w:r>
      <w:r>
        <w:rPr/>
      </w:r>
      <w:r>
        <w:rPr/>
        <w:fldChar w:fldCharType="end"/>
      </w:r>
      <w:r>
        <w:rPr>
          <w:sz w:val="22"/>
        </w:rPr>
        <w:t xml:space="preserve"> will be updated from time to time.   When they are, a notice will be posted on  BGE’s Supplier web site. </w:t>
      </w:r>
    </w:p>
    <w:p>
      <w:pPr>
        <w:pStyle w:val="Normal"/>
        <w:jc w:val="both"/>
        <w:rPr>
          <w:b/>
          <w:sz w:val="22"/>
        </w:rPr>
      </w:pPr>
      <w:r>
        <w:rPr>
          <w:b/>
          <w:sz w:val="22"/>
        </w:rPr>
      </w:r>
    </w:p>
    <w:p>
      <w:pPr>
        <w:pStyle w:val="Heading2"/>
        <w:ind w:hanging="0" w:start="0"/>
        <w:rPr>
          <w:sz w:val="22"/>
        </w:rPr>
      </w:pPr>
      <w:r>
        <w:rPr>
          <w:sz w:val="22"/>
        </w:rPr>
        <w:t xml:space="preserve">SYSTEM LOSSES </w:t>
      </w:r>
    </w:p>
    <w:p>
      <w:pPr>
        <w:pStyle w:val="BodyText3"/>
        <w:rPr>
          <w:sz w:val="22"/>
        </w:rPr>
      </w:pPr>
      <w:r>
        <w:rPr>
          <w:sz w:val="22"/>
        </w:rPr>
        <w:t>For purposes of the Electricity Supplier’s load calculations, the applicable system losses shall be calculated by multiplying hourly kWh sales delivered to Customer(s) served at specified voltage levels by the applicable system loss percentage.  The applicable system loss percentages are available on the in Schedule 2 attached to the BGE Supplier Manual and are subject to change from time to time to reflect changes in system losses or any separate charges on transmission customers that PJM may impose or change for the level of transmission line losses that are included in these percentages.  Any amendments to these loss percentages will be filed with the Commission, and the FERC if required, provided to the Electricity Supplier, and will become effective 30 days after filing unless otherwise ordered by the Commission or the FERC.  BGE will file any such revision and propose that it become effective concurrently with any change in or imposition of separate PJM line loss charges.  BGE will advise the Electricity Supplier of proposed changes in these loss percentages upon filing the proposed changes with the Commission.</w:t>
      </w:r>
    </w:p>
    <w:p>
      <w:pPr>
        <w:pStyle w:val="Normal"/>
        <w:jc w:val="both"/>
        <w:rPr>
          <w:sz w:val="22"/>
        </w:rPr>
      </w:pPr>
      <w:r>
        <w:rPr>
          <w:sz w:val="22"/>
        </w:rPr>
      </w:r>
    </w:p>
    <w:p>
      <w:pPr>
        <w:pStyle w:val="Heading2"/>
        <w:ind w:hanging="0" w:start="0"/>
        <w:rPr>
          <w:sz w:val="22"/>
        </w:rPr>
      </w:pPr>
      <w:r>
        <w:rPr>
          <w:sz w:val="22"/>
        </w:rPr>
        <w:t>UNACCOUNTED FOR ENERGY</w:t>
      </w:r>
    </w:p>
    <w:p>
      <w:pPr>
        <w:pStyle w:val="Normal"/>
        <w:jc w:val="both"/>
        <w:rPr>
          <w:sz w:val="22"/>
        </w:rPr>
      </w:pPr>
      <w:r>
        <w:rPr>
          <w:sz w:val="22"/>
        </w:rPr>
        <w:t>For purposes of allocating energy, peak load contributions, and transmission obligations, BGE will adhere to the philosophy that “the sum of the parts must equal the whole” on a non-discriminatory basis.</w:t>
      </w:r>
    </w:p>
    <w:p>
      <w:pPr>
        <w:pStyle w:val="Normal"/>
        <w:numPr>
          <w:ilvl w:val="0"/>
          <w:numId w:val="47"/>
        </w:numPr>
        <w:spacing w:before="120" w:after="0"/>
        <w:jc w:val="both"/>
        <w:rPr>
          <w:b/>
          <w:sz w:val="22"/>
          <w:u w:val="single"/>
        </w:rPr>
      </w:pPr>
      <w:r>
        <w:rPr>
          <w:sz w:val="22"/>
        </w:rPr>
        <w:t>For energy allocation, all Customer loads will be summed (after grossing up for system losses) and compared to the PJM BGE zonal hourly energy.  The hourly residual, or mismatch, will be allocated back to all LSEs proportional to their load.</w:t>
      </w:r>
    </w:p>
    <w:p>
      <w:pPr>
        <w:pStyle w:val="Normal"/>
        <w:numPr>
          <w:ilvl w:val="0"/>
          <w:numId w:val="47"/>
        </w:numPr>
        <w:spacing w:before="120" w:after="0"/>
        <w:jc w:val="both"/>
        <w:rPr>
          <w:b/>
          <w:sz w:val="22"/>
          <w:u w:val="single"/>
        </w:rPr>
      </w:pPr>
      <w:r>
        <w:rPr>
          <w:sz w:val="22"/>
        </w:rPr>
        <w:t>For peak load contribution calculations, all Customer loads will be summed (after grossing up for system losses) and compared to the PJM BGE zonal obligation for capacity or transmission.  The residual, or mismatch, will be allocated back to all LSEs proportional to their peak load contribution.</w:t>
      </w:r>
    </w:p>
    <w:p>
      <w:pPr>
        <w:pStyle w:val="FootnoteText"/>
        <w:jc w:val="both"/>
        <w:rPr>
          <w:b/>
          <w:sz w:val="22"/>
          <w:u w:val="single"/>
        </w:rPr>
      </w:pPr>
      <w:r>
        <w:rPr>
          <w:b/>
          <w:sz w:val="22"/>
          <w:u w:val="single"/>
        </w:rPr>
      </w:r>
    </w:p>
    <w:p>
      <w:pPr>
        <w:pStyle w:val="Heading2"/>
        <w:ind w:hanging="0" w:start="0"/>
        <w:rPr>
          <w:sz w:val="22"/>
        </w:rPr>
      </w:pPr>
      <w:r>
        <w:rPr>
          <w:sz w:val="22"/>
        </w:rPr>
        <w:t>LOAD RECONCILIATION, CAPACITY, AND TRANSMISSION</w:t>
      </w:r>
    </w:p>
    <w:p>
      <w:pPr>
        <w:pStyle w:val="BodyText3"/>
        <w:rPr>
          <w:sz w:val="22"/>
        </w:rPr>
      </w:pPr>
      <w:r>
        <w:rPr>
          <w:sz w:val="22"/>
        </w:rPr>
        <w:t>The PJM Reliability Assurance Agreement ("RAA") establishes the Unforced Capacity Obligation of Load Serving Entities in PJM for the purpose of ensuring the adequacy of supply during peak load periods.  PJM’s implementation of the RAA places certain obligations on BGE to calculate and report system peak load contribution data for each Customer attributable to the Electricity Supplier.</w:t>
      </w:r>
    </w:p>
    <w:p>
      <w:pPr>
        <w:pStyle w:val="Normal"/>
        <w:jc w:val="both"/>
        <w:rPr>
          <w:sz w:val="22"/>
        </w:rPr>
      </w:pPr>
      <w:r>
        <w:rPr>
          <w:sz w:val="22"/>
        </w:rPr>
      </w:r>
    </w:p>
    <w:p>
      <w:pPr>
        <w:pStyle w:val="BodyText3"/>
        <w:numPr>
          <w:ilvl w:val="0"/>
          <w:numId w:val="48"/>
        </w:numPr>
        <w:tabs>
          <w:tab w:val="left" w:pos="-2070" w:leader="none"/>
          <w:tab w:val="left" w:pos="720" w:leader="none"/>
        </w:tabs>
        <w:ind w:hanging="360" w:start="720" w:end="0"/>
        <w:rPr>
          <w:sz w:val="22"/>
        </w:rPr>
      </w:pPr>
      <w:r>
        <w:rPr>
          <w:b/>
          <w:sz w:val="22"/>
          <w:u w:val="single"/>
        </w:rPr>
        <w:t>Customer specific.</w:t>
      </w:r>
      <w:r>
        <w:rPr>
          <w:sz w:val="22"/>
        </w:rPr>
        <w:t xml:space="preserve">  In accordance with the PJM RAA and PJM rules and procedures, BGE will calculate a system peak load contribution “tag” for each Customer.  Such calculation will be updated from time to time in accordance with PJM rules and procedures.  All calculation methods and results will be made available to the Electricity Supplier.</w:t>
      </w:r>
    </w:p>
    <w:p>
      <w:pPr>
        <w:pStyle w:val="BodyText3"/>
        <w:numPr>
          <w:ilvl w:val="0"/>
          <w:numId w:val="48"/>
        </w:numPr>
        <w:tabs>
          <w:tab w:val="left" w:pos="-2070" w:leader="none"/>
          <w:tab w:val="left" w:pos="720" w:leader="none"/>
        </w:tabs>
        <w:ind w:hanging="360" w:start="720" w:end="0"/>
        <w:rPr>
          <w:sz w:val="22"/>
        </w:rPr>
      </w:pPr>
      <w:r>
        <w:rPr>
          <w:b/>
          <w:sz w:val="22"/>
          <w:u w:val="single"/>
        </w:rPr>
        <w:t>Daily Electricity Supplier Obligation.</w:t>
      </w:r>
      <w:r>
        <w:rPr>
          <w:b/>
          <w:sz w:val="22"/>
        </w:rPr>
        <w:t xml:space="preserve">  </w:t>
      </w:r>
      <w:r>
        <w:rPr>
          <w:sz w:val="22"/>
        </w:rPr>
        <w:t>BGE will report to PJM, according to PJM procedures, the sum of the system peak load contributions for all Customers served by the Electricity Supplier.</w:t>
      </w:r>
    </w:p>
    <w:p>
      <w:pPr>
        <w:pStyle w:val="Normal"/>
        <w:jc w:val="both"/>
        <w:rPr>
          <w:sz w:val="22"/>
        </w:rPr>
      </w:pPr>
      <w:r>
        <w:rPr>
          <w:sz w:val="22"/>
        </w:rPr>
      </w:r>
    </w:p>
    <w:p>
      <w:pPr>
        <w:pStyle w:val="Heading6"/>
        <w:ind w:hanging="0" w:start="360" w:end="0"/>
        <w:rPr>
          <w:u w:val="none"/>
        </w:rPr>
      </w:pPr>
      <w:r>
        <w:rPr/>
        <w:t>Transmission</w:t>
      </w:r>
    </w:p>
    <w:p>
      <w:pPr>
        <w:pStyle w:val="BodyTextIndent3"/>
        <w:ind w:hanging="0" w:start="360" w:end="0"/>
        <w:rPr/>
      </w:pPr>
      <w:r>
        <w:rPr/>
        <w:t>The PJM Open Access Transmission Tariff ("OATT") establishes the Network Service Transmission Obligation of Load Serving Entities in the PJM Control Area.  PJM’s implementation of the OATT places certain obligations on BGE to calculate and report zonal peak load contribution data for each Customer attributable to the Electricity Supplier.</w:t>
      </w:r>
    </w:p>
    <w:p>
      <w:pPr>
        <w:pStyle w:val="Normal"/>
        <w:jc w:val="both"/>
        <w:rPr>
          <w:sz w:val="22"/>
        </w:rPr>
      </w:pPr>
      <w:r>
        <w:rPr>
          <w:sz w:val="22"/>
        </w:rPr>
      </w:r>
    </w:p>
    <w:p>
      <w:pPr>
        <w:pStyle w:val="Normal"/>
        <w:numPr>
          <w:ilvl w:val="0"/>
          <w:numId w:val="19"/>
        </w:numPr>
        <w:tabs>
          <w:tab w:val="clear" w:pos="720"/>
          <w:tab w:val="left" w:pos="1080" w:leader="none"/>
        </w:tabs>
        <w:ind w:hanging="360" w:start="1080" w:end="0"/>
        <w:jc w:val="both"/>
        <w:rPr>
          <w:sz w:val="22"/>
        </w:rPr>
      </w:pPr>
      <w:r>
        <w:rPr>
          <w:b/>
          <w:sz w:val="22"/>
        </w:rPr>
        <w:t>Customer specific.</w:t>
      </w:r>
      <w:r>
        <w:rPr>
          <w:sz w:val="22"/>
        </w:rPr>
        <w:t xml:space="preserve">  In accordance with the PJM OATT and PJM rules and procedures, BGE will calculate a zonal peak load contribution “tag” for each Customer.  Such calculation will be updated from time to time in accordance with PJM rules and procedures.  All calculation methods and results will be made available to the Electricity Supplier.</w:t>
      </w:r>
    </w:p>
    <w:p>
      <w:pPr>
        <w:pStyle w:val="Normal"/>
        <w:numPr>
          <w:ilvl w:val="0"/>
          <w:numId w:val="19"/>
        </w:numPr>
        <w:tabs>
          <w:tab w:val="clear" w:pos="720"/>
          <w:tab w:val="left" w:pos="1080" w:leader="none"/>
        </w:tabs>
        <w:ind w:hanging="360" w:start="1080" w:end="0"/>
        <w:jc w:val="both"/>
        <w:rPr>
          <w:sz w:val="22"/>
        </w:rPr>
      </w:pPr>
      <w:r>
        <w:rPr>
          <w:b/>
          <w:sz w:val="22"/>
        </w:rPr>
        <w:t>Daily Electricity Supplier Obligation.</w:t>
      </w:r>
      <w:r>
        <w:rPr>
          <w:sz w:val="22"/>
        </w:rPr>
        <w:t xml:space="preserve">  BGE will report to PJM, according to PJM procedures, the sum of the zonal peak load contributions for each Customer served by the Electricity Supplier.</w:t>
      </w:r>
    </w:p>
    <w:p>
      <w:pPr>
        <w:pStyle w:val="Normal"/>
        <w:jc w:val="both"/>
        <w:rPr>
          <w:sz w:val="22"/>
        </w:rPr>
      </w:pPr>
      <w:r>
        <w:rPr>
          <w:sz w:val="22"/>
        </w:rPr>
      </w:r>
    </w:p>
    <w:p>
      <w:pPr>
        <w:pStyle w:val="Heading6"/>
        <w:rPr>
          <w:u w:val="none"/>
        </w:rPr>
      </w:pPr>
      <w:r>
        <w:rPr/>
        <w:t>Load Forecasting</w:t>
      </w:r>
    </w:p>
    <w:p>
      <w:pPr>
        <w:pStyle w:val="Normal"/>
        <w:ind w:start="360" w:end="0"/>
        <w:jc w:val="both"/>
        <w:rPr>
          <w:sz w:val="22"/>
        </w:rPr>
      </w:pPr>
      <w:r>
        <w:rPr>
          <w:sz w:val="22"/>
        </w:rPr>
        <w:t>BGE is not obligated to provide load-forecasting services.  The Electricity Supplier is responsible for forecasting its Customer load obligations.</w:t>
      </w:r>
    </w:p>
    <w:p>
      <w:pPr>
        <w:pStyle w:val="Normal"/>
        <w:jc w:val="both"/>
        <w:rPr>
          <w:sz w:val="22"/>
        </w:rPr>
      </w:pPr>
      <w:r>
        <w:rPr>
          <w:sz w:val="22"/>
        </w:rPr>
      </w:r>
    </w:p>
    <w:p>
      <w:pPr>
        <w:pStyle w:val="Heading6"/>
        <w:rPr/>
      </w:pPr>
      <w:r>
        <w:rPr/>
        <w:t>Load Scheduling</w:t>
      </w:r>
    </w:p>
    <w:p>
      <w:pPr>
        <w:pStyle w:val="Normal"/>
        <w:ind w:start="360" w:end="0"/>
        <w:jc w:val="both"/>
        <w:rPr>
          <w:sz w:val="22"/>
        </w:rPr>
      </w:pPr>
      <w:r>
        <w:rPr>
          <w:sz w:val="22"/>
        </w:rPr>
        <w:t xml:space="preserve"> </w:t>
      </w:r>
      <w:r>
        <w:rPr>
          <w:sz w:val="22"/>
        </w:rPr>
        <w:t>The Electricity Supplier is responsible for fulfilling its load obligations with PJM either through direct membership with PJM or through a Scheduling Coordinator.</w:t>
      </w:r>
    </w:p>
    <w:p>
      <w:pPr>
        <w:pStyle w:val="Normal"/>
        <w:jc w:val="both"/>
        <w:rPr>
          <w:sz w:val="22"/>
        </w:rPr>
      </w:pPr>
      <w:r>
        <w:rPr>
          <w:sz w:val="22"/>
        </w:rPr>
      </w:r>
    </w:p>
    <w:p>
      <w:pPr>
        <w:pStyle w:val="Heading6"/>
        <w:rPr/>
      </w:pPr>
      <w:r>
        <w:rPr/>
        <w:t>Day-After Settlement</w:t>
      </w:r>
    </w:p>
    <w:p>
      <w:pPr>
        <w:pStyle w:val="Normal"/>
        <w:ind w:start="360" w:end="0"/>
        <w:jc w:val="both"/>
        <w:rPr>
          <w:sz w:val="22"/>
        </w:rPr>
      </w:pPr>
      <w:r>
        <w:rPr>
          <w:sz w:val="22"/>
        </w:rPr>
        <w:t>The Day-After Settlement occurs after the day of dispatch.  PJM will perform the first portion of settlement as part of its wholesale accounting procedures by comparing the Electricity Supplier’s supply schedule to the Supplier's load responsibility  submitted by BGE.  In the Day-After Settlement, PJM will bill or credit the Electricity Supplier for the difference each hour between (i) any hourly energy amounts supplied by the electric service provider; and (ii) the hourly load responsibility of the Electricity Supplier.  The difference will be billed or credited to the Electricity Supplier at PJM’s LMPs.  For the Day-After Settlement, actual system loads will be known. Also, actual system weather will be known and may be used to select the appropriate Customer load profiles for monthly-metered load profile classes.  The Day-After Settlement will be based upon estimates of Customer consumption.</w:t>
      </w:r>
    </w:p>
    <w:p>
      <w:pPr>
        <w:pStyle w:val="Normal"/>
        <w:jc w:val="both"/>
        <w:rPr>
          <w:sz w:val="22"/>
        </w:rPr>
      </w:pPr>
      <w:r>
        <w:rPr>
          <w:sz w:val="22"/>
        </w:rPr>
      </w:r>
    </w:p>
    <w:p>
      <w:pPr>
        <w:pStyle w:val="Heading6"/>
        <w:rPr/>
      </w:pPr>
      <w:r>
        <w:rPr/>
        <w:t>Estimate Customer Consumption</w:t>
      </w:r>
    </w:p>
    <w:p>
      <w:pPr>
        <w:pStyle w:val="BodyTextIndent3"/>
        <w:rPr/>
      </w:pPr>
      <w:r>
        <w:rPr/>
        <w:t>BGE will estimate hourly Customer consumption quantities as follows:</w:t>
      </w:r>
    </w:p>
    <w:p>
      <w:pPr>
        <w:pStyle w:val="Normal"/>
        <w:numPr>
          <w:ilvl w:val="0"/>
          <w:numId w:val="36"/>
        </w:numPr>
        <w:tabs>
          <w:tab w:val="left" w:pos="-1530" w:leader="none"/>
          <w:tab w:val="left" w:pos="0" w:leader="none"/>
          <w:tab w:val="left" w:pos="720" w:leader="none"/>
        </w:tabs>
        <w:ind w:hanging="360" w:start="720" w:end="0"/>
        <w:jc w:val="both"/>
        <w:rPr>
          <w:sz w:val="22"/>
        </w:rPr>
      </w:pPr>
      <w:r>
        <w:rPr>
          <w:b/>
          <w:sz w:val="22"/>
        </w:rPr>
        <w:t>Hourly Metered Customers.</w:t>
      </w:r>
      <w:r>
        <w:rPr>
          <w:sz w:val="22"/>
        </w:rPr>
        <w:t xml:space="preserve">  If available, actual data from interval-metered Customers will be used for energy reconciliation.  If not available, usage will be estimated.  At this time, BGE does not anticipate collecting actual hourly-metered data for use in the Day-After settlement.</w:t>
      </w:r>
    </w:p>
    <w:p>
      <w:pPr>
        <w:pStyle w:val="Normal"/>
        <w:numPr>
          <w:ilvl w:val="0"/>
          <w:numId w:val="36"/>
        </w:numPr>
        <w:tabs>
          <w:tab w:val="left" w:pos="720" w:leader="none"/>
          <w:tab w:val="left" w:pos="1440" w:leader="none"/>
          <w:tab w:val="left" w:pos="2340" w:leader="none"/>
        </w:tabs>
        <w:ind w:hanging="360" w:start="720" w:end="0"/>
        <w:jc w:val="both"/>
        <w:rPr>
          <w:sz w:val="22"/>
        </w:rPr>
      </w:pPr>
      <w:r>
        <w:rPr>
          <w:b/>
          <w:sz w:val="22"/>
        </w:rPr>
        <w:t>Monthly Metered Customers.</w:t>
      </w:r>
      <w:r>
        <w:rPr>
          <w:sz w:val="22"/>
        </w:rPr>
        <w:t xml:space="preserve">  The class or subclass average load profile will be determined in accordance with the load profiling methodology.  The class average profile will be scaled according to each Customer’s historical consumption factor.</w:t>
      </w:r>
    </w:p>
    <w:p>
      <w:pPr>
        <w:pStyle w:val="Normal"/>
        <w:numPr>
          <w:ilvl w:val="0"/>
          <w:numId w:val="36"/>
        </w:numPr>
        <w:tabs>
          <w:tab w:val="left" w:pos="720" w:leader="none"/>
          <w:tab w:val="left" w:pos="1440" w:leader="none"/>
          <w:tab w:val="left" w:pos="2340" w:leader="none"/>
        </w:tabs>
        <w:ind w:hanging="360" w:start="720" w:end="0"/>
        <w:jc w:val="both"/>
        <w:rPr>
          <w:sz w:val="22"/>
        </w:rPr>
      </w:pPr>
      <w:r>
        <w:rPr>
          <w:b/>
          <w:sz w:val="22"/>
        </w:rPr>
        <w:t>Apply Losses</w:t>
      </w:r>
      <w:r>
        <w:rPr>
          <w:b/>
          <w:sz w:val="22"/>
          <w:u w:val="single"/>
        </w:rPr>
        <w:t>.</w:t>
      </w:r>
      <w:r>
        <w:rPr>
          <w:sz w:val="22"/>
        </w:rPr>
        <w:t xml:space="preserve">  The Customer's estimated usage by hour will be multiplied by the appropriate loss factor respective to Customer class to determine the Customer's estimated gross usage by hour.</w:t>
      </w:r>
    </w:p>
    <w:p>
      <w:pPr>
        <w:pStyle w:val="Normal"/>
        <w:numPr>
          <w:ilvl w:val="0"/>
          <w:numId w:val="36"/>
        </w:numPr>
        <w:tabs>
          <w:tab w:val="left" w:pos="720" w:leader="none"/>
          <w:tab w:val="left" w:pos="1440" w:leader="none"/>
          <w:tab w:val="left" w:pos="2340" w:leader="none"/>
        </w:tabs>
        <w:ind w:hanging="360" w:start="720" w:end="0"/>
        <w:jc w:val="both"/>
        <w:rPr>
          <w:sz w:val="22"/>
        </w:rPr>
      </w:pPr>
      <w:r>
        <w:rPr>
          <w:b/>
          <w:sz w:val="22"/>
        </w:rPr>
        <w:t>Aggregate Profiles.</w:t>
      </w:r>
      <w:r>
        <w:rPr>
          <w:sz w:val="22"/>
        </w:rPr>
        <w:t xml:space="preserve">  The gross hourly estimated usage quantity for each Customer will be aggregated by BGE to arrive at a total gross Customer usage quantity by hour for each Electricity Supplier.</w:t>
      </w:r>
    </w:p>
    <w:p>
      <w:pPr>
        <w:pStyle w:val="Normal"/>
        <w:numPr>
          <w:ilvl w:val="0"/>
          <w:numId w:val="36"/>
        </w:numPr>
        <w:tabs>
          <w:tab w:val="left" w:pos="720" w:leader="none"/>
          <w:tab w:val="left" w:pos="1440" w:leader="none"/>
          <w:tab w:val="left" w:pos="2340" w:leader="none"/>
        </w:tabs>
        <w:ind w:hanging="360" w:start="720" w:end="0"/>
        <w:jc w:val="both"/>
        <w:rPr>
          <w:sz w:val="22"/>
        </w:rPr>
      </w:pPr>
      <w:r>
        <w:rPr>
          <w:b/>
          <w:sz w:val="22"/>
        </w:rPr>
        <w:t>Allocate Unaccounted for Energy (Residual</w:t>
      </w:r>
      <w:r>
        <w:rPr>
          <w:sz w:val="22"/>
        </w:rPr>
        <w:t>)</w:t>
      </w:r>
      <w:r>
        <w:rPr>
          <w:b/>
          <w:sz w:val="22"/>
        </w:rPr>
        <w:t>.</w:t>
      </w:r>
      <w:r>
        <w:rPr>
          <w:sz w:val="22"/>
        </w:rPr>
        <w:t xml:space="preserve">  The gross hourly loads for the Electricity Suppliers and BGE will be compared to the aggregate PJM zonal load for BGE’s zone.  Any differences will be allocated to the Electricity Suppliers and BGE’s loads on a non-discriminatory basis.</w:t>
      </w:r>
    </w:p>
    <w:p>
      <w:pPr>
        <w:pStyle w:val="Normal"/>
        <w:tabs>
          <w:tab w:val="clear" w:pos="720"/>
          <w:tab w:val="left" w:pos="1440" w:leader="none"/>
        </w:tabs>
        <w:ind w:firstLine="90" w:end="0"/>
        <w:jc w:val="both"/>
        <w:rPr>
          <w:sz w:val="22"/>
        </w:rPr>
      </w:pPr>
      <w:r>
        <w:rPr>
          <w:sz w:val="22"/>
        </w:rPr>
      </w:r>
    </w:p>
    <w:p>
      <w:pPr>
        <w:pStyle w:val="Normal"/>
        <w:numPr>
          <w:ilvl w:val="0"/>
          <w:numId w:val="43"/>
        </w:numPr>
        <w:tabs>
          <w:tab w:val="clear" w:pos="720"/>
          <w:tab w:val="left" w:pos="1440" w:leader="none"/>
        </w:tabs>
        <w:jc w:val="both"/>
        <w:rPr>
          <w:sz w:val="22"/>
        </w:rPr>
      </w:pPr>
      <w:r>
        <w:rPr>
          <w:b/>
          <w:sz w:val="22"/>
          <w:u w:val="single"/>
        </w:rPr>
        <w:t>Submit Estimated Load Obligation Data to PJM.</w:t>
      </w:r>
      <w:r>
        <w:rPr>
          <w:sz w:val="22"/>
        </w:rPr>
        <w:t xml:space="preserve">  BGE will compute and submit to PJM the complete hourly estimated load obligation data quantities for each day utilizing the PJM eSchedule submittal preference of “unilateral acceptance by Supplier.”  Such PJM data submittals will be in accordance with PJM accounting deadlines as outlined in the PJM Operating Agreement.  Estimating the load obligation involves statistical samples and estimating error.  </w:t>
      </w:r>
    </w:p>
    <w:p>
      <w:pPr>
        <w:pStyle w:val="Normal"/>
        <w:tabs>
          <w:tab w:val="clear" w:pos="720"/>
          <w:tab w:val="left" w:pos="1440" w:leader="none"/>
        </w:tabs>
        <w:jc w:val="both"/>
        <w:rPr>
          <w:sz w:val="22"/>
        </w:rPr>
      </w:pPr>
      <w:r>
        <w:rPr>
          <w:sz w:val="22"/>
        </w:rPr>
      </w:r>
    </w:p>
    <w:p>
      <w:pPr>
        <w:pStyle w:val="Normal"/>
        <w:numPr>
          <w:ilvl w:val="0"/>
          <w:numId w:val="25"/>
        </w:numPr>
        <w:tabs>
          <w:tab w:val="clear" w:pos="720"/>
          <w:tab w:val="left" w:pos="1440" w:leader="none"/>
        </w:tabs>
        <w:jc w:val="both"/>
        <w:rPr>
          <w:sz w:val="22"/>
        </w:rPr>
      </w:pPr>
      <w:r>
        <w:rPr>
          <w:b/>
          <w:sz w:val="22"/>
          <w:u w:val="single"/>
        </w:rPr>
        <w:t>Financial Settlement and Billing.</w:t>
      </w:r>
      <w:r>
        <w:rPr>
          <w:sz w:val="22"/>
        </w:rPr>
        <w:t xml:space="preserve">  BGE and the Electricity Supplier will rely on PJM to perform calculations to determine the monetary value of reconciliation quantities and to bill and/or credit the Electricity Suppliers and BGE for oversupplies and undersupplies at an hourly price through the PJM grid accounting system.  Oversupplies and undersupplies will be calculated as determined by PJM.</w:t>
      </w:r>
    </w:p>
    <w:p>
      <w:pPr>
        <w:pStyle w:val="Normal"/>
        <w:jc w:val="both"/>
        <w:rPr>
          <w:sz w:val="22"/>
        </w:rPr>
      </w:pPr>
      <w:r>
        <w:rPr>
          <w:sz w:val="22"/>
        </w:rPr>
      </w:r>
    </w:p>
    <w:p>
      <w:pPr>
        <w:pStyle w:val="Normal"/>
        <w:numPr>
          <w:ilvl w:val="0"/>
          <w:numId w:val="25"/>
        </w:numPr>
        <w:jc w:val="both"/>
        <w:rPr>
          <w:sz w:val="22"/>
        </w:rPr>
      </w:pPr>
      <w:r>
        <w:rPr>
          <w:b/>
          <w:sz w:val="22"/>
          <w:u w:val="single"/>
        </w:rPr>
        <w:t>The 60-Day Settlement/Consumption Energy Imbalance.</w:t>
      </w:r>
      <w:r>
        <w:rPr>
          <w:sz w:val="22"/>
        </w:rPr>
        <w:t xml:space="preserve">  The second portion of the settlement process occurs after all actual or estimated monthly and interval energy usage data have been processed for the day in question (approximately 45-60 days later).  Consumption Energy Imbalance service accounts for mismatches between the Day-After Load Estimation for the Electricity Supplier and the energy that was actually used by its Customers.  Given the absence of universal real-time metering, the calculation of Consumption Energy Imbalance quantities must typically occur after the monthly reading, or monthly estimation, of Customers' meters.</w:t>
      </w:r>
    </w:p>
    <w:p>
      <w:pPr>
        <w:pStyle w:val="Normal"/>
        <w:jc w:val="both"/>
        <w:rPr>
          <w:sz w:val="22"/>
        </w:rPr>
      </w:pPr>
      <w:r>
        <w:rPr>
          <w:sz w:val="22"/>
        </w:rPr>
      </w:r>
    </w:p>
    <w:p>
      <w:pPr>
        <w:pStyle w:val="Normal"/>
        <w:numPr>
          <w:ilvl w:val="0"/>
          <w:numId w:val="50"/>
        </w:numPr>
        <w:jc w:val="both"/>
        <w:rPr>
          <w:sz w:val="22"/>
        </w:rPr>
      </w:pPr>
      <w:r>
        <w:rPr>
          <w:b/>
          <w:sz w:val="22"/>
          <w:u w:val="single"/>
        </w:rPr>
        <w:t>Meter Data Collection.</w:t>
      </w:r>
      <w:r>
        <w:rPr>
          <w:sz w:val="22"/>
        </w:rPr>
        <w:t xml:space="preserve">  Meter data collected or estimated by BGE shall be utilized to calculate the quantity of energy actually consumed by an Electricity Supplier’s Customers for a particular period.  Such collection or estimation shall occur at the time of a Customer’s monthly meter reading.</w:t>
      </w:r>
    </w:p>
    <w:p>
      <w:pPr>
        <w:pStyle w:val="Normal"/>
        <w:jc w:val="both"/>
        <w:rPr>
          <w:sz w:val="22"/>
        </w:rPr>
      </w:pPr>
      <w:r>
        <w:rPr>
          <w:sz w:val="22"/>
        </w:rPr>
      </w:r>
    </w:p>
    <w:p>
      <w:pPr>
        <w:pStyle w:val="Normal"/>
        <w:numPr>
          <w:ilvl w:val="0"/>
          <w:numId w:val="50"/>
        </w:numPr>
        <w:jc w:val="both"/>
        <w:rPr>
          <w:sz w:val="22"/>
        </w:rPr>
      </w:pPr>
      <w:r>
        <w:rPr>
          <w:b/>
          <w:sz w:val="22"/>
          <w:u w:val="single"/>
        </w:rPr>
        <w:t>Monthly Metered Customers.</w:t>
      </w:r>
      <w:r>
        <w:rPr>
          <w:sz w:val="22"/>
        </w:rPr>
        <w:t xml:space="preserve">  Data from monthly-metered Customers is collected in subsets corresponding to Customer billing cycles (billing routes), which close on different days of the month.  BGE shall convert such meter data, including estimates, for Customers to the equivalent hourly usage.  Load profile class load curves will be scaled to metered usage to derive an estimate for the hour-by-hour usage.</w:t>
      </w:r>
    </w:p>
    <w:p>
      <w:pPr>
        <w:pStyle w:val="Normal"/>
        <w:numPr>
          <w:ilvl w:val="0"/>
          <w:numId w:val="9"/>
        </w:numPr>
        <w:jc w:val="both"/>
        <w:rPr>
          <w:sz w:val="22"/>
        </w:rPr>
      </w:pPr>
      <w:r>
        <w:rPr>
          <w:b/>
          <w:sz w:val="22"/>
          <w:u w:val="single"/>
        </w:rPr>
        <w:t>Determine Consumption Energy Imbalances.</w:t>
      </w:r>
      <w:r>
        <w:rPr>
          <w:sz w:val="22"/>
        </w:rPr>
        <w:t xml:space="preserve">  BGE will determine hourly Consumption Energy Imbalance quantities at a minimum on a calendar month basis in conjunction with PJM’s billing schedule.</w:t>
      </w:r>
    </w:p>
    <w:p>
      <w:pPr>
        <w:pStyle w:val="Normal"/>
        <w:jc w:val="both"/>
        <w:rPr>
          <w:sz w:val="22"/>
        </w:rPr>
      </w:pPr>
      <w:r>
        <w:rPr>
          <w:sz w:val="22"/>
        </w:rPr>
      </w:r>
    </w:p>
    <w:p>
      <w:pPr>
        <w:pStyle w:val="Normal"/>
        <w:numPr>
          <w:ilvl w:val="0"/>
          <w:numId w:val="9"/>
        </w:numPr>
        <w:tabs>
          <w:tab w:val="clear" w:pos="720"/>
          <w:tab w:val="left" w:pos="2340" w:leader="none"/>
          <w:tab w:val="left" w:pos="2880" w:leader="none"/>
        </w:tabs>
        <w:jc w:val="both"/>
        <w:rPr>
          <w:sz w:val="22"/>
        </w:rPr>
      </w:pPr>
      <w:r>
        <w:rPr>
          <w:b/>
          <w:sz w:val="22"/>
          <w:u w:val="single"/>
        </w:rPr>
        <w:t>Apply Losses.</w:t>
      </w:r>
      <w:r>
        <w:rPr>
          <w:sz w:val="22"/>
        </w:rPr>
        <w:t xml:space="preserve">  The monthly-metered Customer's estimated usage by hour and the interval metered Customer’s hourly usage will be multiplied by the appropriate loss factor respective to Customer class to determine the Customer's gross usage by hour.</w:t>
      </w:r>
    </w:p>
    <w:p>
      <w:pPr>
        <w:pStyle w:val="Normal"/>
        <w:tabs>
          <w:tab w:val="clear" w:pos="720"/>
          <w:tab w:val="left" w:pos="2340" w:leader="none"/>
          <w:tab w:val="left" w:pos="2880" w:leader="none"/>
        </w:tabs>
        <w:jc w:val="both"/>
        <w:rPr>
          <w:sz w:val="22"/>
        </w:rPr>
      </w:pPr>
      <w:r>
        <w:rPr>
          <w:sz w:val="22"/>
        </w:rPr>
      </w:r>
    </w:p>
    <w:p>
      <w:pPr>
        <w:pStyle w:val="Normal"/>
        <w:numPr>
          <w:ilvl w:val="0"/>
          <w:numId w:val="9"/>
        </w:numPr>
        <w:tabs>
          <w:tab w:val="clear" w:pos="720"/>
          <w:tab w:val="left" w:pos="2340" w:leader="none"/>
        </w:tabs>
        <w:jc w:val="both"/>
        <w:rPr>
          <w:sz w:val="22"/>
        </w:rPr>
      </w:pPr>
      <w:r>
        <w:rPr>
          <w:b/>
          <w:sz w:val="22"/>
          <w:u w:val="single"/>
        </w:rPr>
        <w:t>Aggregate Profiles.</w:t>
      </w:r>
      <w:r>
        <w:rPr>
          <w:sz w:val="22"/>
        </w:rPr>
        <w:t xml:space="preserve">  The gross hourly usage quantity for each Customer will be aggregated by BGE to arrive at a total gross Customer usage quantity by hour for each Electricity Supplier.</w:t>
      </w:r>
    </w:p>
    <w:p>
      <w:pPr>
        <w:pStyle w:val="Normal"/>
        <w:tabs>
          <w:tab w:val="clear" w:pos="720"/>
          <w:tab w:val="left" w:pos="2340" w:leader="none"/>
        </w:tabs>
        <w:jc w:val="both"/>
        <w:rPr>
          <w:sz w:val="22"/>
        </w:rPr>
      </w:pPr>
      <w:r>
        <w:rPr>
          <w:sz w:val="22"/>
        </w:rPr>
      </w:r>
    </w:p>
    <w:p>
      <w:pPr>
        <w:pStyle w:val="Normal"/>
        <w:numPr>
          <w:ilvl w:val="0"/>
          <w:numId w:val="9"/>
        </w:numPr>
        <w:tabs>
          <w:tab w:val="left" w:pos="720" w:leader="none"/>
          <w:tab w:val="left" w:pos="2340" w:leader="none"/>
          <w:tab w:val="left" w:pos="2880" w:leader="none"/>
        </w:tabs>
        <w:jc w:val="both"/>
        <w:rPr>
          <w:sz w:val="22"/>
        </w:rPr>
      </w:pPr>
      <w:r>
        <w:rPr>
          <w:b/>
          <w:sz w:val="22"/>
          <w:u w:val="single"/>
        </w:rPr>
        <w:t>Allocate Unaccounted for Energy (Residual</w:t>
      </w:r>
      <w:r>
        <w:rPr>
          <w:sz w:val="22"/>
          <w:u w:val="single"/>
        </w:rPr>
        <w:t>)</w:t>
      </w:r>
      <w:r>
        <w:rPr>
          <w:b/>
          <w:sz w:val="22"/>
          <w:u w:val="single"/>
        </w:rPr>
        <w:t>.</w:t>
      </w:r>
      <w:r>
        <w:rPr>
          <w:sz w:val="22"/>
        </w:rPr>
        <w:t xml:space="preserve">  The gross hourly loads for the Electricity Suppliers and BGE will be compared to the aggregate PJM zonal load for BGE’s zone.  Any differences will be allocated to the Electricity Suppliers and BGE’s loads on a non-discriminatory basis.</w:t>
      </w:r>
    </w:p>
    <w:p>
      <w:pPr>
        <w:pStyle w:val="Normal"/>
        <w:tabs>
          <w:tab w:val="left" w:pos="720" w:leader="none"/>
          <w:tab w:val="left" w:pos="2340" w:leader="none"/>
          <w:tab w:val="left" w:pos="2880" w:leader="none"/>
        </w:tabs>
        <w:jc w:val="both"/>
        <w:rPr>
          <w:sz w:val="22"/>
        </w:rPr>
      </w:pPr>
      <w:r>
        <w:rPr>
          <w:sz w:val="22"/>
        </w:rPr>
      </w:r>
    </w:p>
    <w:p>
      <w:pPr>
        <w:pStyle w:val="Normal"/>
        <w:numPr>
          <w:ilvl w:val="0"/>
          <w:numId w:val="9"/>
        </w:numPr>
        <w:tabs>
          <w:tab w:val="clear" w:pos="720"/>
          <w:tab w:val="left" w:pos="1170" w:leader="none"/>
          <w:tab w:val="left" w:pos="2340" w:leader="none"/>
        </w:tabs>
        <w:jc w:val="both"/>
        <w:rPr>
          <w:sz w:val="22"/>
        </w:rPr>
      </w:pPr>
      <w:r>
        <w:rPr>
          <w:b/>
          <w:sz w:val="22"/>
          <w:u w:val="single"/>
        </w:rPr>
        <w:t>Calculate Consumption Energy Imbalances.</w:t>
      </w:r>
      <w:r>
        <w:rPr>
          <w:sz w:val="22"/>
        </w:rPr>
        <w:t xml:space="preserve">  Hourly Consumption Energy Imbalances are calculated respective to each Electricity Supplier’s Estimated Day-After Settlement Load Obligations. </w:t>
      </w:r>
    </w:p>
    <w:p>
      <w:pPr>
        <w:pStyle w:val="Normal"/>
        <w:jc w:val="both"/>
        <w:rPr>
          <w:sz w:val="22"/>
        </w:rPr>
      </w:pPr>
      <w:r>
        <w:rPr>
          <w:sz w:val="22"/>
        </w:rPr>
      </w:r>
    </w:p>
    <w:p>
      <w:pPr>
        <w:pStyle w:val="Normal"/>
        <w:numPr>
          <w:ilvl w:val="0"/>
          <w:numId w:val="24"/>
        </w:numPr>
        <w:jc w:val="both"/>
        <w:rPr>
          <w:sz w:val="22"/>
        </w:rPr>
      </w:pPr>
      <w:r>
        <w:rPr>
          <w:b/>
          <w:sz w:val="22"/>
          <w:u w:val="single"/>
        </w:rPr>
        <w:t>Submit Reconciliation Data to PJM.</w:t>
      </w:r>
      <w:r>
        <w:rPr>
          <w:sz w:val="22"/>
        </w:rPr>
        <w:t xml:space="preserve">  After a calendar month becomes fully metered or estimated, BGE will compute and submit to PJM the complete hourly Consumption Energy Imbalance quantities for that calendar month.  Such PJM data submittals will be in accordance with PJM accounting deadlines and the timing of such submittals may change from time to time.  Estimating the load obligation involves statistical samples and estimating error.  The financial consequences of such errors shall be addressed and resolved pursuant to PJM procedures.  Neither BGE nor the Electricity Supplier shall be responsible to the other for any estimating errors.</w:t>
      </w:r>
    </w:p>
    <w:p>
      <w:pPr>
        <w:pStyle w:val="Normal"/>
        <w:jc w:val="both"/>
        <w:rPr>
          <w:sz w:val="22"/>
        </w:rPr>
      </w:pPr>
      <w:r>
        <w:rPr>
          <w:sz w:val="22"/>
        </w:rPr>
      </w:r>
    </w:p>
    <w:p>
      <w:pPr>
        <w:pStyle w:val="Normal"/>
        <w:numPr>
          <w:ilvl w:val="0"/>
          <w:numId w:val="24"/>
        </w:numPr>
        <w:jc w:val="both"/>
        <w:rPr>
          <w:sz w:val="22"/>
        </w:rPr>
      </w:pPr>
      <w:r>
        <w:rPr>
          <w:b/>
          <w:sz w:val="22"/>
          <w:u w:val="single"/>
        </w:rPr>
        <w:t>Financial Settlement and Billing.</w:t>
      </w:r>
      <w:r>
        <w:rPr>
          <w:sz w:val="22"/>
        </w:rPr>
        <w:t xml:space="preserve">  BGE and the Electricity Supplier will rely on PJM to perform calculations to determine the monetary value of reconciliation quantities and to bill and/or credit the Electricity Suppliers and BGE for oversupplies and undersupplies at an hourly price through the PJM grid accounting system.  Oversupplies and undersupplies will be calculated as determined by PJM.</w:t>
      </w:r>
    </w:p>
    <w:p>
      <w:pPr>
        <w:pStyle w:val="Normal"/>
        <w:jc w:val="both"/>
        <w:rPr>
          <w:sz w:val="22"/>
        </w:rPr>
      </w:pPr>
      <w:r>
        <w:rPr>
          <w:sz w:val="22"/>
        </w:rPr>
      </w:r>
    </w:p>
    <w:p>
      <w:pPr>
        <w:pStyle w:val="Heading3"/>
        <w:ind w:hanging="0" w:start="0"/>
        <w:rPr/>
      </w:pPr>
      <w:r>
        <w:rPr/>
        <w:t xml:space="preserve">ELECTRICITY SUPPLIER CHARGES, BILLING, AND PAYMENT </w:t>
      </w:r>
    </w:p>
    <w:p>
      <w:pPr>
        <w:pStyle w:val="Normal"/>
        <w:numPr>
          <w:ilvl w:val="0"/>
          <w:numId w:val="29"/>
        </w:numPr>
        <w:jc w:val="both"/>
        <w:rPr>
          <w:sz w:val="22"/>
        </w:rPr>
      </w:pPr>
      <w:r>
        <w:rPr>
          <w:sz w:val="22"/>
        </w:rPr>
        <w:t>The Electricity Supplier agrees to pay all Charges for Electricity Supplier Coordination Services provided by BGE as set forth in Schedule 1 of this Tariff.</w:t>
      </w:r>
    </w:p>
    <w:p>
      <w:pPr>
        <w:pStyle w:val="Normal"/>
        <w:numPr>
          <w:ilvl w:val="0"/>
          <w:numId w:val="29"/>
        </w:numPr>
        <w:jc w:val="both"/>
        <w:rPr>
          <w:sz w:val="22"/>
        </w:rPr>
      </w:pPr>
      <w:r>
        <w:rPr>
          <w:sz w:val="22"/>
        </w:rPr>
        <w:t>The Electricity Supplier shall pay for all Coordination Services, or any other charge it incurs hereunder, in accordance with the following provisions.</w:t>
      </w:r>
    </w:p>
    <w:p>
      <w:pPr>
        <w:pStyle w:val="Normal"/>
        <w:numPr>
          <w:ilvl w:val="0"/>
          <w:numId w:val="29"/>
        </w:numPr>
        <w:jc w:val="both"/>
        <w:rPr>
          <w:sz w:val="22"/>
        </w:rPr>
      </w:pPr>
      <w:r>
        <w:rPr>
          <w:sz w:val="22"/>
        </w:rPr>
        <w:t xml:space="preserve">BGE calculates Supplier’s fees based on Schedule 1, BGE Supplier Manual.  The monthly fees will be calculated on Thursday of the first full calendar week of the following month.  Invoices will be prepared for each supplier and mailed the following Monday.   Invoices will be mailed to the address specified by the Supplier. </w:t>
      </w:r>
    </w:p>
    <w:p>
      <w:pPr>
        <w:pStyle w:val="Normal"/>
        <w:numPr>
          <w:ilvl w:val="0"/>
          <w:numId w:val="12"/>
        </w:numPr>
        <w:jc w:val="both"/>
        <w:rPr>
          <w:sz w:val="22"/>
        </w:rPr>
      </w:pPr>
      <w:r>
        <w:rPr>
          <w:sz w:val="22"/>
        </w:rPr>
        <w:t>If an invoice for Supplier fees is not received by the end of the second full week of a month, contact Supplier Account Management.</w:t>
      </w:r>
    </w:p>
    <w:p>
      <w:pPr>
        <w:pStyle w:val="Normal"/>
        <w:numPr>
          <w:ilvl w:val="0"/>
          <w:numId w:val="21"/>
        </w:numPr>
        <w:tabs>
          <w:tab w:val="clear" w:pos="720"/>
          <w:tab w:val="left" w:pos="1440" w:leader="none"/>
        </w:tabs>
        <w:jc w:val="both"/>
        <w:rPr>
          <w:sz w:val="22"/>
        </w:rPr>
      </w:pPr>
      <w:r>
        <w:rPr>
          <w:sz w:val="22"/>
        </w:rPr>
        <w:t>It is accepted that, when necessary, estimated meter reads</w:t>
      </w:r>
      <w:r>
        <w:fldChar w:fldCharType="begin"/>
      </w:r>
      <w:r>
        <w:rPr/>
        <w:instrText xml:space="preserve"> XE "estimated meter reads" </w:instrText>
      </w:r>
      <w:r>
        <w:rPr/>
        <w:fldChar w:fldCharType="separate"/>
      </w:r>
      <w:r>
        <w:rPr/>
      </w:r>
      <w:r>
        <w:rPr/>
        <w:fldChar w:fldCharType="end"/>
      </w:r>
      <w:r>
        <w:rPr>
          <w:sz w:val="22"/>
        </w:rPr>
        <w:t xml:space="preserve"> may substitute for actual meter reads.  By their very nature, estimated meter reads will not be 100 percent accurate.  Billing corrections will not be performed every time on an estimated meter read.</w:t>
      </w:r>
    </w:p>
    <w:p>
      <w:pPr>
        <w:pStyle w:val="Normal"/>
        <w:numPr>
          <w:ilvl w:val="0"/>
          <w:numId w:val="21"/>
        </w:numPr>
        <w:tabs>
          <w:tab w:val="clear" w:pos="720"/>
          <w:tab w:val="left" w:pos="1440" w:leader="none"/>
        </w:tabs>
        <w:jc w:val="both"/>
        <w:rPr>
          <w:sz w:val="22"/>
        </w:rPr>
      </w:pPr>
      <w:r>
        <w:rPr>
          <w:sz w:val="22"/>
        </w:rPr>
        <w:t>Suppliers who wish to propose (an) adjustment</w:t>
      </w:r>
      <w:r>
        <w:fldChar w:fldCharType="begin"/>
      </w:r>
      <w:r>
        <w:rPr/>
        <w:instrText xml:space="preserve"> XE "adjustment" </w:instrText>
      </w:r>
      <w:r>
        <w:rPr/>
        <w:fldChar w:fldCharType="separate"/>
      </w:r>
      <w:r>
        <w:rPr/>
      </w:r>
      <w:r>
        <w:rPr/>
        <w:fldChar w:fldCharType="end"/>
      </w:r>
      <w:r>
        <w:rPr>
          <w:sz w:val="22"/>
        </w:rPr>
        <w:t>(s) to Supplier fees should notify BGE of the amount of the adjustment(s) and a detailed explanation. The proposed adjustment(s) should be provided to BGE’s Supplier Account Management Unit.</w:t>
      </w:r>
    </w:p>
    <w:p>
      <w:pPr>
        <w:pStyle w:val="Normal"/>
        <w:numPr>
          <w:ilvl w:val="0"/>
          <w:numId w:val="21"/>
        </w:numPr>
        <w:tabs>
          <w:tab w:val="clear" w:pos="720"/>
          <w:tab w:val="left" w:pos="1440" w:leader="none"/>
        </w:tabs>
        <w:jc w:val="both"/>
        <w:rPr>
          <w:sz w:val="22"/>
        </w:rPr>
      </w:pPr>
      <w:r>
        <w:rPr>
          <w:sz w:val="22"/>
        </w:rPr>
        <w:t>The Electricity Supplier shall make payments of funds payable to BGE by electronic payment to a bank designated by BGE.  If disputes arise regarding the Electricity Supplier’s bill, the Electricity Supplier must pay the undisputed portion of disputed bills under investigation by the due date shown on the bill.</w:t>
      </w:r>
    </w:p>
    <w:p>
      <w:pPr>
        <w:pStyle w:val="Normal"/>
        <w:numPr>
          <w:ilvl w:val="0"/>
          <w:numId w:val="21"/>
        </w:numPr>
        <w:jc w:val="both"/>
        <w:rPr>
          <w:sz w:val="22"/>
        </w:rPr>
      </w:pPr>
      <w:r>
        <w:rPr>
          <w:sz w:val="22"/>
        </w:rPr>
        <w:t>If payment is made to BGE after the due date shown on the bill, interest will be added to the unpaid balance until the entire bill is paid, at the rate of 1.5% per month for two months.  At the end of the second nominal billing interval, an additional charge to be made equal to 2% of any portion of the original amount that remains unpaid at the time.  The total of these charges may not exceed 5%.</w:t>
      </w:r>
    </w:p>
    <w:p>
      <w:pPr>
        <w:pStyle w:val="Normal"/>
        <w:numPr>
          <w:ilvl w:val="0"/>
          <w:numId w:val="21"/>
        </w:numPr>
        <w:jc w:val="both"/>
        <w:rPr>
          <w:sz w:val="22"/>
        </w:rPr>
      </w:pPr>
      <w:r>
        <w:rPr>
          <w:sz w:val="22"/>
        </w:rPr>
        <w:t>The parties agree that BGE may, as part of the routine billing and payment process between BGE and Electricity Supplier, “net’ or offset any and all amounts that may be due and owing by the Electricity Supplier to BGE against any and all amounts that may be due and owing by BGE to the Electricity Supplier, as a result of BGE’s collection of the Electricity Supplier’s portion of the Customer’s payment pursuant to Section 11.2 hereof, prior to rendering payment or an invoice to the Electricity Supplier.</w:t>
      </w:r>
    </w:p>
    <w:p>
      <w:pPr>
        <w:pStyle w:val="Normal"/>
        <w:numPr>
          <w:ilvl w:val="0"/>
          <w:numId w:val="21"/>
        </w:numPr>
        <w:jc w:val="both"/>
        <w:rPr>
          <w:sz w:val="22"/>
        </w:rPr>
      </w:pPr>
      <w:r>
        <w:rPr>
          <w:sz w:val="22"/>
        </w:rPr>
        <w:t>In the event the Electricity Supplier fails to make payment on or before the due date because of a billing dispute between BGE and the Electricity Supplier, BGE will continue to provide Coordination Services under the BGE Tariff and the Supplier Coordination Agreement as long as the Electricity Supplier (1) continues to make all payments not in dispute, and (2) pays into an escrow account the portion of the invoice in dispute, pending resolution of the dispute.  If a billing dispute</w:t>
      </w:r>
      <w:r>
        <w:fldChar w:fldCharType="begin"/>
      </w:r>
      <w:r>
        <w:rPr/>
        <w:instrText xml:space="preserve"> XE "billing dispute" </w:instrText>
      </w:r>
      <w:r>
        <w:rPr/>
        <w:fldChar w:fldCharType="separate"/>
      </w:r>
      <w:r>
        <w:rPr/>
      </w:r>
      <w:r>
        <w:rPr/>
        <w:fldChar w:fldCharType="end"/>
      </w:r>
      <w:r>
        <w:rPr>
          <w:sz w:val="22"/>
        </w:rPr>
        <w:t xml:space="preserve"> cannot be resolved, BGE will, at its election, stop processing new Customer switches for the Supplier until resolution is obtained.  </w:t>
      </w:r>
    </w:p>
    <w:p>
      <w:pPr>
        <w:pStyle w:val="Normal"/>
        <w:rPr>
          <w:sz w:val="22"/>
        </w:rPr>
      </w:pPr>
      <w:r>
        <w:rPr>
          <w:sz w:val="22"/>
        </w:rPr>
      </w:r>
    </w:p>
    <w:tbl>
      <w:tblPr>
        <w:tblW w:w="9390" w:type="dxa"/>
        <w:jc w:val="start"/>
        <w:tblInd w:w="0" w:type="dxa"/>
        <w:tblLayout w:type="fixed"/>
        <w:tblCellMar>
          <w:top w:w="0" w:type="dxa"/>
          <w:start w:w="30" w:type="dxa"/>
          <w:bottom w:w="0" w:type="dxa"/>
          <w:end w:w="30" w:type="dxa"/>
        </w:tblCellMar>
      </w:tblPr>
      <w:tblGrid>
        <w:gridCol w:w="9390"/>
      </w:tblGrid>
      <w:tr>
        <w:trPr>
          <w:trHeight w:val="469" w:hRule="atLeast"/>
        </w:trPr>
        <w:tc>
          <w:tcPr>
            <w:tcW w:w="9390" w:type="dxa"/>
            <w:tcBorders/>
          </w:tcPr>
          <w:p>
            <w:pPr>
              <w:pStyle w:val="Heading3"/>
              <w:ind w:hanging="0" w:start="0"/>
              <w:jc w:val="both"/>
              <w:rPr/>
            </w:pPr>
            <w:r>
              <w:rPr/>
              <w:t>EDI TESTING/CERTIFICATION</w:t>
            </w:r>
          </w:p>
          <w:p>
            <w:pPr>
              <w:pStyle w:val="NormalWeb"/>
              <w:spacing w:before="0" w:after="0"/>
              <w:jc w:val="both"/>
              <w:rPr>
                <w:rFonts w:ascii="Times New Roman" w:hAnsi="Times New Roman" w:cs="Times New Roman"/>
                <w:sz w:val="22"/>
              </w:rPr>
            </w:pPr>
            <w:r>
              <w:rPr>
                <w:rFonts w:cs="Times New Roman" w:ascii="Times New Roman" w:hAnsi="Times New Roman"/>
                <w:sz w:val="22"/>
              </w:rPr>
              <w:t>Before EDI Testing can begin with BGE, the Supplier must submit to the Maryland Public Service Commission an "Application for License to Supply Electricity or Electric Generation Services to the Public in the State of Maryland".</w:t>
            </w:r>
          </w:p>
          <w:p>
            <w:pPr>
              <w:pStyle w:val="NormalWeb"/>
              <w:spacing w:before="0" w:after="0"/>
              <w:jc w:val="both"/>
              <w:rPr>
                <w:rFonts w:ascii="Times New Roman" w:hAnsi="Times New Roman" w:cs="Times New Roman"/>
                <w:sz w:val="22"/>
                <w:u w:val="single"/>
              </w:rPr>
            </w:pPr>
            <w:r>
              <w:rPr>
                <w:rFonts w:cs="Times New Roman" w:ascii="Times New Roman" w:hAnsi="Times New Roman"/>
                <w:sz w:val="22"/>
                <w:u w:val="single"/>
              </w:rPr>
            </w:r>
          </w:p>
          <w:p>
            <w:pPr>
              <w:pStyle w:val="NormalWeb"/>
              <w:numPr>
                <w:ilvl w:val="0"/>
                <w:numId w:val="39"/>
              </w:numPr>
              <w:tabs>
                <w:tab w:val="clear" w:pos="720"/>
              </w:tabs>
              <w:spacing w:before="0" w:after="0"/>
              <w:ind w:hanging="360" w:start="0" w:end="0"/>
              <w:jc w:val="both"/>
              <w:rPr>
                <w:rFonts w:ascii="Times New Roman" w:hAnsi="Times New Roman" w:cs="Times New Roman"/>
                <w:sz w:val="22"/>
              </w:rPr>
            </w:pPr>
            <w:r>
              <w:rPr>
                <w:rFonts w:cs="Times New Roman" w:ascii="Times New Roman" w:hAnsi="Times New Roman"/>
                <w:sz w:val="22"/>
                <w:u w:val="single"/>
              </w:rPr>
              <w:t>BGE requires 10 days advance notice of a Supplier's interest to participate in a scheduled EDI test batch</w:t>
            </w:r>
            <w:r>
              <w:rPr>
                <w:rFonts w:cs="Times New Roman" w:ascii="Times New Roman" w:hAnsi="Times New Roman"/>
                <w:sz w:val="22"/>
              </w:rPr>
              <w:t xml:space="preserve">.  The following items are required by BGE at the time of notification: </w:t>
            </w:r>
          </w:p>
          <w:p>
            <w:pPr>
              <w:pStyle w:val="Normal"/>
              <w:numPr>
                <w:ilvl w:val="0"/>
                <w:numId w:val="39"/>
              </w:numPr>
              <w:jc w:val="both"/>
              <w:rPr>
                <w:sz w:val="22"/>
              </w:rPr>
            </w:pPr>
            <w:r>
              <w:rPr>
                <w:sz w:val="22"/>
              </w:rPr>
              <w:t xml:space="preserve">Trading partner information </w:t>
            </w:r>
          </w:p>
          <w:p>
            <w:pPr>
              <w:pStyle w:val="Normal"/>
              <w:numPr>
                <w:ilvl w:val="0"/>
                <w:numId w:val="39"/>
              </w:numPr>
              <w:jc w:val="both"/>
              <w:rPr>
                <w:sz w:val="22"/>
              </w:rPr>
            </w:pPr>
            <w:r>
              <w:rPr>
                <w:sz w:val="22"/>
              </w:rPr>
              <w:t xml:space="preserve">Identification of billing scenarios </w:t>
            </w:r>
          </w:p>
          <w:p>
            <w:pPr>
              <w:pStyle w:val="Normal"/>
              <w:numPr>
                <w:ilvl w:val="0"/>
                <w:numId w:val="39"/>
              </w:numPr>
              <w:jc w:val="both"/>
              <w:rPr>
                <w:sz w:val="22"/>
              </w:rPr>
            </w:pPr>
            <w:r>
              <w:rPr>
                <w:sz w:val="22"/>
              </w:rPr>
              <w:t>Identification of non-compliance areas, test exceptions and manual processes.</w:t>
            </w:r>
          </w:p>
          <w:p>
            <w:pPr>
              <w:pStyle w:val="Normal"/>
              <w:jc w:val="both"/>
              <w:rPr>
                <w:sz w:val="22"/>
              </w:rPr>
            </w:pPr>
            <w:r>
              <w:rPr>
                <w:sz w:val="22"/>
              </w:rPr>
            </w:r>
          </w:p>
          <w:p>
            <w:pPr>
              <w:pStyle w:val="NormalWeb"/>
              <w:spacing w:before="0" w:after="0"/>
              <w:jc w:val="both"/>
              <w:rPr>
                <w:rFonts w:ascii="Times New Roman" w:hAnsi="Times New Roman" w:cs="Times New Roman"/>
                <w:sz w:val="22"/>
              </w:rPr>
            </w:pPr>
            <w:r>
              <w:rPr>
                <w:rFonts w:cs="Times New Roman" w:ascii="Times New Roman" w:hAnsi="Times New Roman"/>
                <w:sz w:val="22"/>
              </w:rPr>
              <w:t>BGE requires that Suppliers have either:</w:t>
            </w:r>
          </w:p>
          <w:p>
            <w:pPr>
              <w:pStyle w:val="Normal"/>
              <w:numPr>
                <w:ilvl w:val="0"/>
                <w:numId w:val="51"/>
              </w:numPr>
              <w:ind w:hanging="360" w:start="0" w:end="0"/>
              <w:jc w:val="both"/>
              <w:rPr>
                <w:sz w:val="22"/>
              </w:rPr>
            </w:pPr>
            <w:r>
              <w:rPr>
                <w:sz w:val="22"/>
              </w:rPr>
              <w:t xml:space="preserve">Separate mailboxes for test and production (preferred) OR </w:t>
            </w:r>
          </w:p>
          <w:p>
            <w:pPr>
              <w:pStyle w:val="Normal"/>
              <w:ind w:start="720" w:end="0"/>
              <w:jc w:val="both"/>
              <w:rPr>
                <w:b/>
                <w:color w:val="000000"/>
                <w:sz w:val="22"/>
                <w:u w:val="single"/>
              </w:rPr>
            </w:pPr>
            <w:r>
              <w:rPr>
                <w:sz w:val="22"/>
              </w:rPr>
              <w:t xml:space="preserve">Separate ISA sender / receiver IDS for test and production </w:t>
            </w:r>
          </w:p>
        </w:tc>
      </w:tr>
      <w:tr>
        <w:trPr>
          <w:trHeight w:val="73" w:hRule="atLeast"/>
        </w:trPr>
        <w:tc>
          <w:tcPr>
            <w:tcW w:w="9390" w:type="dxa"/>
            <w:tcBorders/>
          </w:tcPr>
          <w:p>
            <w:pPr>
              <w:pStyle w:val="Heading3"/>
              <w:snapToGrid w:val="false"/>
              <w:ind w:hanging="0" w:start="0"/>
              <w:jc w:val="both"/>
              <w:rPr>
                <w:rFonts w:ascii="Arial" w:hAnsi="Arial" w:cs="Arial"/>
                <w:b/>
                <w:color w:val="000000"/>
                <w:sz w:val="22"/>
                <w:u w:val="single"/>
              </w:rPr>
            </w:pPr>
            <w:r>
              <w:rPr>
                <w:rFonts w:cs="Arial" w:ascii="Arial" w:hAnsi="Arial"/>
                <w:b/>
                <w:color w:val="000000"/>
                <w:sz w:val="22"/>
                <w:u w:val="single"/>
              </w:rPr>
            </w:r>
          </w:p>
        </w:tc>
      </w:tr>
    </w:tbl>
    <w:p>
      <w:pPr>
        <w:pStyle w:val="Normal"/>
        <w:jc w:val="both"/>
        <w:rPr>
          <w:sz w:val="22"/>
        </w:rPr>
      </w:pPr>
      <w:r>
        <w:rPr>
          <w:sz w:val="22"/>
        </w:rPr>
      </w:r>
    </w:p>
    <w:sectPr>
      <w:headerReference w:type="default" r:id="rId9"/>
      <w:footerReference w:type="default" r:id="rId10"/>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arlett">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19</w:t>
    </w:r>
    <w:r>
      <w:rPr/>
      <w:fldChar w:fldCharType="end"/>
    </w:r>
    <w:r>
      <w:rPr/>
      <w:t xml:space="preserve"> of </w:t>
    </w:r>
    <w:r>
      <w:rPr/>
      <w:fldChar w:fldCharType="begin"/>
    </w:r>
    <w:r>
      <w:rPr/>
      <w:instrText xml:space="preserve"> NUMPAGES \* ARABIC </w:instrText>
    </w:r>
    <w:r>
      <w:rPr/>
      <w:fldChar w:fldCharType="separate"/>
    </w:r>
    <w:r>
      <w:rPr/>
      <w:t>19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drawing>
        <wp:anchor behindDoc="1" distT="0" distB="0" distL="114935" distR="114935" simplePos="0" locked="0" layoutInCell="1" allowOverlap="1" relativeHeight="20">
          <wp:simplePos x="0" y="0"/>
          <wp:positionH relativeFrom="column">
            <wp:posOffset>-822960</wp:posOffset>
          </wp:positionH>
          <wp:positionV relativeFrom="paragraph">
            <wp:posOffset>-457200</wp:posOffset>
          </wp:positionV>
          <wp:extent cx="1091565" cy="118618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7" t="-25" r="-27" b="-25"/>
                  <a:stretch>
                    <a:fillRect/>
                  </a:stretch>
                </pic:blipFill>
                <pic:spPr bwMode="auto">
                  <a:xfrm>
                    <a:off x="0" y="0"/>
                    <a:ext cx="1091565" cy="1186180"/>
                  </a:xfrm>
                  <a:prstGeom prst="rect">
                    <a:avLst/>
                  </a:prstGeom>
                  <a:noFill/>
                </pic:spPr>
              </pic:pic>
            </a:graphicData>
          </a:graphic>
        </wp:anchor>
      </w:drawing>
    </w:r>
    <w:r>
      <w:rPr/>
      <w:t>BALTIMORE GAS &amp; ELECTRIC MARKET SUMMARY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decimal"/>
      <w:lvlText w:val="%1."/>
      <w:lvlJc w:val="start"/>
      <w:pPr>
        <w:tabs>
          <w:tab w:val="num" w:pos="360"/>
        </w:tabs>
        <w:ind w:start="360" w:hanging="360"/>
      </w:p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decimal"/>
      <w:lvlText w:val="%1."/>
      <w:lvlJc w:val="start"/>
      <w:pPr>
        <w:tabs>
          <w:tab w:val="num" w:pos="360"/>
        </w:tabs>
        <w:ind w:start="360" w:hanging="360"/>
      </w:p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color w:val="auto"/>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decimal"/>
      <w:lvlText w:val="%1."/>
      <w:lvlJc w:val="start"/>
      <w:pPr>
        <w:tabs>
          <w:tab w:val="num" w:pos="360"/>
        </w:tabs>
        <w:ind w:start="360" w:hanging="360"/>
      </w:p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decimal"/>
      <w:lvlText w:val="%1."/>
      <w:lvlJc w:val="start"/>
      <w:pPr>
        <w:tabs>
          <w:tab w:val="num" w:pos="360"/>
        </w:tabs>
        <w:ind w:start="360" w:hanging="360"/>
      </w:pPr>
    </w:lvl>
  </w:abstractNum>
  <w:abstractNum w:abstractNumId="3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8">
    <w:lvl w:ilvl="0">
      <w:start w:val="1"/>
      <w:numFmt w:val="bullet"/>
      <w:lvlText w:val=""/>
      <w:lvlJc w:val="start"/>
      <w:pPr>
        <w:tabs>
          <w:tab w:val="num" w:pos="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0">
    <w:lvl w:ilvl="0">
      <w:start w:val="1"/>
      <w:numFmt w:val="decimal"/>
      <w:lvlText w:val="%1."/>
      <w:lvlJc w:val="start"/>
      <w:pPr>
        <w:tabs>
          <w:tab w:val="num" w:pos="360"/>
        </w:tabs>
        <w:ind w:start="360" w:hanging="360"/>
      </w:p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5">
    <w:lvl w:ilvl="0">
      <w:start w:val="1"/>
      <w:numFmt w:val="decimal"/>
      <w:lvlText w:val="%1."/>
      <w:lvlJc w:val="start"/>
      <w:pPr>
        <w:tabs>
          <w:tab w:val="num" w:pos="360"/>
        </w:tabs>
        <w:ind w:start="360" w:hanging="360"/>
      </w:p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decimal"/>
      <w:lvlText w:val="%1."/>
      <w:lvlJc w:val="start"/>
      <w:pPr>
        <w:tabs>
          <w:tab w:val="num" w:pos="360"/>
        </w:tabs>
        <w:ind w:start="360" w:hanging="360"/>
      </w:p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decimal"/>
      <w:lvlText w:val="%1)"/>
      <w:lvlJc w:val="start"/>
      <w:pPr>
        <w:tabs>
          <w:tab w:val="num" w:pos="720"/>
        </w:tabs>
        <w:ind w:start="720" w:hanging="360"/>
      </w:p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4">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bCs/>
      <w:sz w:val="24"/>
      <w:u w:val="single"/>
    </w:rPr>
  </w:style>
  <w:style w:type="paragraph" w:styleId="Heading4">
    <w:name w:val="heading 4"/>
    <w:basedOn w:val="Normal"/>
    <w:next w:val="Normal"/>
    <w:qFormat/>
    <w:pPr>
      <w:keepNext w:val="true"/>
      <w:numPr>
        <w:ilvl w:val="3"/>
        <w:numId w:val="1"/>
      </w:numPr>
      <w:tabs>
        <w:tab w:val="left" w:pos="720" w:leader="none"/>
        <w:tab w:val="left" w:pos="1080" w:leader="none"/>
      </w:tabs>
      <w:jc w:val="both"/>
      <w:outlineLvl w:val="3"/>
    </w:pPr>
    <w:rPr>
      <w:b/>
      <w:bCs/>
      <w:sz w:val="24"/>
      <w:u w:val="single"/>
    </w:rPr>
  </w:style>
  <w:style w:type="paragraph" w:styleId="Heading5">
    <w:name w:val="heading 5"/>
    <w:basedOn w:val="Normal"/>
    <w:next w:val="Normal"/>
    <w:qFormat/>
    <w:pPr>
      <w:keepNext w:val="true"/>
      <w:numPr>
        <w:ilvl w:val="4"/>
        <w:numId w:val="1"/>
      </w:numPr>
      <w:tabs>
        <w:tab w:val="left" w:pos="720" w:leader="none"/>
      </w:tabs>
      <w:jc w:val="both"/>
      <w:outlineLvl w:val="4"/>
    </w:pPr>
    <w:rPr>
      <w:b/>
    </w:rPr>
  </w:style>
  <w:style w:type="paragraph" w:styleId="Heading6">
    <w:name w:val="heading 6"/>
    <w:basedOn w:val="Normal"/>
    <w:next w:val="Normal"/>
    <w:qFormat/>
    <w:pPr>
      <w:keepNext w:val="true"/>
      <w:numPr>
        <w:ilvl w:val="5"/>
        <w:numId w:val="1"/>
      </w:numPr>
      <w:ind w:firstLine="360" w:start="0" w:end="0"/>
      <w:jc w:val="both"/>
      <w:outlineLvl w:val="5"/>
    </w:pPr>
    <w:rPr>
      <w:b/>
      <w:sz w:val="22"/>
      <w:u w:val="single"/>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b/>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1">
    <w:name w:val="WW8Num12z1"/>
    <w:qFormat/>
    <w:rPr>
      <w:rFonts w:ascii="Symbol" w:hAnsi="Symbol" w:cs="Symbol"/>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2">
    <w:name w:val="WW8Num16z2"/>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b/>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b/>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b w:val="false"/>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b/>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u w:val="none"/>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4z2">
    <w:name w:val="WW8Num54z2"/>
    <w:qFormat/>
    <w:rPr>
      <w:rFonts w:ascii="Wingdings" w:hAnsi="Wingdings" w:cs="Wingdings"/>
    </w:rPr>
  </w:style>
  <w:style w:type="character" w:styleId="WW8Num54z4">
    <w:name w:val="WW8Num54z4"/>
    <w:qFormat/>
    <w:rPr>
      <w:rFonts w:ascii="Courier New" w:hAnsi="Courier New" w:cs="Courier New"/>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color w:val="0000FF"/>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0z2">
    <w:name w:val="WW8Num60z2"/>
    <w:qFormat/>
    <w:rPr>
      <w:rFonts w:ascii="Wingdings" w:hAnsi="Wingdings" w:cs="Wingdings"/>
    </w:rPr>
  </w:style>
  <w:style w:type="character" w:styleId="WW8Num60z4">
    <w:name w:val="WW8Num60z4"/>
    <w:qFormat/>
    <w:rPr>
      <w:rFonts w:ascii="Courier New" w:hAnsi="Courier New" w:cs="Courier New"/>
    </w:rPr>
  </w:style>
  <w:style w:type="character" w:styleId="WW8Num61z0">
    <w:name w:val="WW8Num61z0"/>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Times New Roman" w:hAnsi="Times New Roman" w:cs="Times New Roman"/>
    </w:rPr>
  </w:style>
  <w:style w:type="character" w:styleId="WW8Num68z0">
    <w:name w:val="WW8Num68z0"/>
    <w:qFormat/>
    <w:rPr>
      <w:rFonts w:ascii="Symbol" w:hAnsi="Symbol" w:cs="Symbol"/>
    </w:rPr>
  </w:style>
  <w:style w:type="character" w:styleId="WW8Num68z2">
    <w:name w:val="WW8Num68z2"/>
    <w:qFormat/>
    <w:rPr>
      <w:rFonts w:ascii="Wingdings" w:hAnsi="Wingdings" w:cs="Wingdings"/>
    </w:rPr>
  </w:style>
  <w:style w:type="character" w:styleId="WW8Num68z4">
    <w:name w:val="WW8Num68z4"/>
    <w:qFormat/>
    <w:rPr>
      <w:rFonts w:ascii="Courier New" w:hAnsi="Courier New" w:cs="Courier New"/>
    </w:rPr>
  </w:style>
  <w:style w:type="character" w:styleId="WW8Num69z0">
    <w:name w:val="WW8Num69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Marlett" w:hAnsi="Marlett" w:cs="Marlett"/>
    </w:rPr>
  </w:style>
  <w:style w:type="character" w:styleId="WW8Num77z0">
    <w:name w:val="WW8Num77z0"/>
    <w:qFormat/>
    <w:rPr>
      <w:rFonts w:ascii="Symbol" w:hAnsi="Symbol" w:cs="Symbol"/>
    </w:rPr>
  </w:style>
  <w:style w:type="character" w:styleId="WW8Num78z0">
    <w:name w:val="WW8Num78z0"/>
    <w:qFormat/>
    <w:rPr>
      <w:rFonts w:ascii="Symbol" w:hAnsi="Symbol" w:cs="Symbol"/>
      <w:sz w:val="20"/>
    </w:rPr>
  </w:style>
  <w:style w:type="character" w:styleId="WW8Num78z1">
    <w:name w:val="WW8Num78z1"/>
    <w:qFormat/>
    <w:rPr>
      <w:rFonts w:ascii="Courier New" w:hAnsi="Courier New" w:cs="Courier New"/>
      <w:sz w:val="20"/>
    </w:rPr>
  </w:style>
  <w:style w:type="character" w:styleId="WW8Num78z2">
    <w:name w:val="WW8Num78z2"/>
    <w:qFormat/>
    <w:rPr>
      <w:rFonts w:ascii="Wingdings" w:hAnsi="Wingdings" w:cs="Wingdings"/>
      <w:sz w:val="20"/>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79z3">
    <w:name w:val="WW8Num79z3"/>
    <w:qFormat/>
    <w:rPr>
      <w:rFonts w:ascii="Times New Roman" w:hAnsi="Times New Roman" w:eastAsia="Times New Roman" w:cs="Times New Roman"/>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Times New Roman" w:hAnsi="Times New Roman" w:cs="Times New Roman"/>
      <w:sz w:val="22"/>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b/>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7z0">
    <w:name w:val="WW8Num107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3z0">
    <w:name w:val="WW8Num113z0"/>
    <w:qFormat/>
    <w:rPr>
      <w:rFonts w:ascii="Symbol" w:hAnsi="Symbol" w:cs="Symbol"/>
    </w:rPr>
  </w:style>
  <w:style w:type="character" w:styleId="WW8Num113z4">
    <w:name w:val="WW8Num113z4"/>
    <w:qFormat/>
    <w:rPr>
      <w:rFonts w:ascii="Courier New" w:hAnsi="Courier New" w:cs="Courier New"/>
    </w:rPr>
  </w:style>
  <w:style w:type="character" w:styleId="WW8Num113z5">
    <w:name w:val="WW8Num113z5"/>
    <w:qFormat/>
    <w:rPr>
      <w:rFonts w:ascii="Wingdings" w:hAnsi="Wingdings" w:cs="Wingdings"/>
    </w:rPr>
  </w:style>
  <w:style w:type="character" w:styleId="WW8Num115z0">
    <w:name w:val="WW8Num115z0"/>
    <w:qFormat/>
    <w:rPr>
      <w:rFonts w:ascii="Wingdings" w:hAnsi="Wingdings" w:cs="Wingdings"/>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b/>
    </w:rPr>
  </w:style>
  <w:style w:type="character" w:styleId="WW8Num119z0">
    <w:name w:val="WW8Num119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5z2">
    <w:name w:val="WW8Num125z2"/>
    <w:qFormat/>
    <w:rPr>
      <w:rFonts w:ascii="Wingdings" w:hAnsi="Wingdings" w:cs="Wingdings"/>
    </w:rPr>
  </w:style>
  <w:style w:type="character" w:styleId="WW8Num125z4">
    <w:name w:val="WW8Num125z4"/>
    <w:qFormat/>
    <w:rPr>
      <w:rFonts w:ascii="Courier New" w:hAnsi="Courier New" w:cs="Courier New"/>
    </w:rPr>
  </w:style>
  <w:style w:type="character" w:styleId="WW8Num126z0">
    <w:name w:val="WW8Num126z0"/>
    <w:qFormat/>
    <w:rPr>
      <w:b/>
    </w:rPr>
  </w:style>
  <w:style w:type="character" w:styleId="WW8Num129z0">
    <w:name w:val="WW8Num129z0"/>
    <w:qFormat/>
    <w:rPr>
      <w:rFonts w:ascii="Symbol" w:hAnsi="Symbol" w:cs="Symbol"/>
    </w:rPr>
  </w:style>
  <w:style w:type="character" w:styleId="WW8Num130z0">
    <w:name w:val="WW8Num130z0"/>
    <w:qFormat/>
    <w:rPr>
      <w:rFonts w:ascii="Times New Roman" w:hAnsi="Times New Roman" w:cs="Times New Roman"/>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4z0">
    <w:name w:val="WW8Num134z0"/>
    <w:qFormat/>
    <w:rPr>
      <w:rFonts w:ascii="Symbol" w:hAnsi="Symbol" w:cs="Symbol"/>
    </w:rPr>
  </w:style>
  <w:style w:type="character" w:styleId="WW8Num136z0">
    <w:name w:val="WW8Num136z0"/>
    <w:qFormat/>
    <w:rPr>
      <w:rFonts w:ascii="Wingdings" w:hAnsi="Wingdings" w:cs="Wingdings"/>
    </w:rPr>
  </w:style>
  <w:style w:type="character" w:styleId="WW8Num138z0">
    <w:name w:val="WW8Num138z0"/>
    <w:qFormat/>
    <w:rPr>
      <w:rFonts w:ascii="Symbol" w:hAnsi="Symbol" w:cs="Symbol"/>
    </w:rPr>
  </w:style>
  <w:style w:type="character" w:styleId="WW8Num139z0">
    <w:name w:val="WW8Num139z0"/>
    <w:qFormat/>
    <w:rPr>
      <w:rFonts w:ascii="Times New Roman" w:hAnsi="Times New Roman" w:cs="Times New Roman"/>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7z0">
    <w:name w:val="WW8Num147z0"/>
    <w:qFormat/>
    <w:rPr>
      <w:rFonts w:ascii="Symbol" w:hAnsi="Symbol" w:cs="Symbol"/>
    </w:rPr>
  </w:style>
  <w:style w:type="character" w:styleId="WW8Num149z0">
    <w:name w:val="WW8Num149z0"/>
    <w:qFormat/>
    <w:rPr>
      <w:b/>
    </w:rPr>
  </w:style>
  <w:style w:type="character" w:styleId="WW8Num150z0">
    <w:name w:val="WW8Num150z0"/>
    <w:qFormat/>
    <w:rPr>
      <w:rFonts w:ascii="Symbol" w:hAnsi="Symbol" w:cs="Symbol"/>
    </w:rPr>
  </w:style>
  <w:style w:type="character" w:styleId="WW8Num151z0">
    <w:name w:val="WW8Num151z0"/>
    <w:qFormat/>
    <w:rPr>
      <w:b/>
      <w:u w:val="single"/>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Wingdings" w:hAnsi="Wingdings" w:cs="Wingdings"/>
    </w:rPr>
  </w:style>
  <w:style w:type="character" w:styleId="WW8Num155z0">
    <w:name w:val="WW8Num155z0"/>
    <w:qFormat/>
    <w:rPr>
      <w:rFonts w:ascii="Symbol" w:hAnsi="Symbol" w:cs="Symbol"/>
      <w:sz w:val="20"/>
    </w:rPr>
  </w:style>
  <w:style w:type="character" w:styleId="WW8Num155z1">
    <w:name w:val="WW8Num155z1"/>
    <w:qFormat/>
    <w:rPr>
      <w:rFonts w:ascii="Courier New" w:hAnsi="Courier New" w:cs="Courier New"/>
      <w:sz w:val="20"/>
    </w:rPr>
  </w:style>
  <w:style w:type="character" w:styleId="WW8Num155z2">
    <w:name w:val="WW8Num155z2"/>
    <w:qFormat/>
    <w:rPr>
      <w:rFonts w:ascii="Wingdings" w:hAnsi="Wingdings" w:cs="Wingdings"/>
      <w:sz w:val="20"/>
    </w:rPr>
  </w:style>
  <w:style w:type="character" w:styleId="WW8Num156z0">
    <w:name w:val="WW8Num156z0"/>
    <w:qFormat/>
    <w:rPr>
      <w:rFonts w:ascii="Symbol" w:hAnsi="Symbol" w:cs="Symbol"/>
    </w:rPr>
  </w:style>
  <w:style w:type="character" w:styleId="WW8Num156z2">
    <w:name w:val="WW8Num156z2"/>
    <w:qFormat/>
    <w:rPr>
      <w:rFonts w:ascii="Wingdings" w:hAnsi="Wingdings" w:cs="Wingdings"/>
    </w:rPr>
  </w:style>
  <w:style w:type="character" w:styleId="WW8Num156z4">
    <w:name w:val="WW8Num156z4"/>
    <w:qFormat/>
    <w:rPr>
      <w:rFonts w:ascii="Courier New" w:hAnsi="Courier New" w:cs="Courier New"/>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b/>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72z0">
    <w:name w:val="WW8Num172z0"/>
    <w:qFormat/>
    <w:rPr>
      <w:rFonts w:ascii="Symbol" w:hAnsi="Symbol" w:cs="Symbol"/>
      <w:color w:val="FF0000"/>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b/>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Times New Roman" w:hAnsi="Times New Roman" w:cs="Times New Roman"/>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1z0">
    <w:name w:val="WW8Num191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1z2">
    <w:name w:val="WW8Num201z2"/>
    <w:qFormat/>
    <w:rPr>
      <w:rFonts w:ascii="Wingdings" w:hAnsi="Wingdings" w:cs="Wingdings"/>
    </w:rPr>
  </w:style>
  <w:style w:type="character" w:styleId="WW8Num201z4">
    <w:name w:val="WW8Num201z4"/>
    <w:qFormat/>
    <w:rPr>
      <w:rFonts w:ascii="Courier New" w:hAnsi="Courier New" w:cs="Courier New"/>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b/>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4z0">
    <w:name w:val="WW8Num224z0"/>
    <w:qFormat/>
    <w:rPr>
      <w:rFonts w:ascii="Symbol" w:hAnsi="Symbol" w:cs="Symbol"/>
    </w:rPr>
  </w:style>
  <w:style w:type="character" w:styleId="WW8Num226z0">
    <w:name w:val="WW8Num226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Times New Roman" w:hAnsi="Times New Roman" w:cs="Times New Roman"/>
      <w:sz w:val="22"/>
    </w:rPr>
  </w:style>
  <w:style w:type="character" w:styleId="WW8Num234z0">
    <w:name w:val="WW8Num234z0"/>
    <w:qFormat/>
    <w:rPr>
      <w:rFonts w:ascii="Symbol" w:hAnsi="Symbol" w:cs="Symbol"/>
    </w:rPr>
  </w:style>
  <w:style w:type="character" w:styleId="WW8Num234z2">
    <w:name w:val="WW8Num234z2"/>
    <w:qFormat/>
    <w:rPr/>
  </w:style>
  <w:style w:type="character" w:styleId="WW8Num234z4">
    <w:name w:val="WW8Num234z4"/>
    <w:qFormat/>
    <w:rPr>
      <w:rFonts w:ascii="Courier New" w:hAnsi="Courier New" w:cs="Courier New"/>
    </w:rPr>
  </w:style>
  <w:style w:type="character" w:styleId="WW8Num234z5">
    <w:name w:val="WW8Num234z5"/>
    <w:qFormat/>
    <w:rPr>
      <w:rFonts w:ascii="Wingdings" w:hAnsi="Wingdings" w:cs="Wingdings"/>
    </w:rPr>
  </w:style>
  <w:style w:type="character" w:styleId="WW8Num235z0">
    <w:name w:val="WW8Num235z0"/>
    <w:qFormat/>
    <w:rPr>
      <w:rFonts w:ascii="Symbol" w:hAnsi="Symbol" w:cs="Symbol"/>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b/>
    </w:rPr>
  </w:style>
  <w:style w:type="character" w:styleId="WW8Num247z0">
    <w:name w:val="WW8Num247z0"/>
    <w:qFormat/>
    <w:rPr>
      <w:rFonts w:ascii="Symbol" w:hAnsi="Symbol" w:cs="Symbol"/>
    </w:rPr>
  </w:style>
  <w:style w:type="character" w:styleId="WW8Num248z0">
    <w:name w:val="WW8Num248z0"/>
    <w:qFormat/>
    <w:rPr>
      <w:rFonts w:ascii="Wingdings" w:hAnsi="Wingdings" w:cs="Wingdings"/>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sz w:val="20"/>
    </w:rPr>
  </w:style>
  <w:style w:type="character" w:styleId="WW8Num252z1">
    <w:name w:val="WW8Num252z1"/>
    <w:qFormat/>
    <w:rPr>
      <w:rFonts w:ascii="Courier New" w:hAnsi="Courier New" w:cs="Courier New"/>
      <w:sz w:val="20"/>
    </w:rPr>
  </w:style>
  <w:style w:type="character" w:styleId="WW8Num252z2">
    <w:name w:val="WW8Num252z2"/>
    <w:qFormat/>
    <w:rPr>
      <w:rFonts w:ascii="Wingdings" w:hAnsi="Wingdings" w:cs="Wingdings"/>
      <w:sz w:val="20"/>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60z0">
    <w:name w:val="WW8Num260z0"/>
    <w:qFormat/>
    <w:rPr>
      <w:rFonts w:ascii="Symbol" w:hAnsi="Symbol" w:cs="Symbol"/>
    </w:rPr>
  </w:style>
  <w:style w:type="character" w:styleId="WW8Num260z2">
    <w:name w:val="WW8Num260z2"/>
    <w:qFormat/>
    <w:rPr>
      <w:rFonts w:ascii="Wingdings" w:hAnsi="Wingdings" w:cs="Wingdings"/>
    </w:rPr>
  </w:style>
  <w:style w:type="character" w:styleId="WW8Num260z4">
    <w:name w:val="WW8Num260z4"/>
    <w:qFormat/>
    <w:rPr>
      <w:rFonts w:ascii="Courier New" w:hAnsi="Courier New" w:cs="Courier New"/>
    </w:rPr>
  </w:style>
  <w:style w:type="character" w:styleId="WW8Num261z0">
    <w:name w:val="WW8Num261z0"/>
    <w:qFormat/>
    <w:rPr>
      <w:rFonts w:ascii="Symbol" w:hAnsi="Symbol" w:cs="Symbol"/>
    </w:rPr>
  </w:style>
  <w:style w:type="character" w:styleId="WW8Num261z1">
    <w:name w:val="WW8Num261z1"/>
    <w:qFormat/>
    <w:rPr>
      <w:rFonts w:ascii="Courier New" w:hAnsi="Courier New" w:cs="Courier New"/>
    </w:rPr>
  </w:style>
  <w:style w:type="character" w:styleId="WW8Num261z2">
    <w:name w:val="WW8Num261z2"/>
    <w:qFormat/>
    <w:rPr>
      <w:rFonts w:ascii="Wingdings" w:hAnsi="Wingdings" w:cs="Wingdings"/>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Wingdings" w:hAnsi="Wingdings" w:cs="Wingdings"/>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3z0">
    <w:name w:val="WW8Num273z0"/>
    <w:qFormat/>
    <w:rPr>
      <w:b/>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4z0">
    <w:name w:val="WW8Num284z0"/>
    <w:qFormat/>
    <w:rPr>
      <w:rFonts w:ascii="Symbol" w:hAnsi="Symbol" w:cs="Symbol"/>
    </w:rPr>
  </w:style>
  <w:style w:type="character" w:styleId="WW8Num286z0">
    <w:name w:val="WW8Num286z0"/>
    <w:qFormat/>
    <w:rPr>
      <w:rFonts w:ascii="Symbol" w:hAnsi="Symbol" w:cs="Symbol"/>
    </w:rPr>
  </w:style>
  <w:style w:type="character" w:styleId="WW8Num286z2">
    <w:name w:val="WW8Num286z2"/>
    <w:qFormat/>
    <w:rPr>
      <w:rFonts w:ascii="Wingdings" w:hAnsi="Wingdings" w:cs="Wingdings"/>
    </w:rPr>
  </w:style>
  <w:style w:type="character" w:styleId="WW8Num286z4">
    <w:name w:val="WW8Num286z4"/>
    <w:qFormat/>
    <w:rPr>
      <w:rFonts w:ascii="Courier New" w:hAnsi="Courier New" w:cs="Courier New"/>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Times New Roman" w:hAnsi="Times New Roman" w:cs="Times New Roman"/>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style>
  <w:style w:type="character" w:styleId="WW8Num295z0">
    <w:name w:val="WW8Num295z0"/>
    <w:qFormat/>
    <w:rPr>
      <w:rFonts w:ascii="Symbol" w:hAnsi="Symbol" w:cs="Symbol"/>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7z0">
    <w:name w:val="WW8Num297z0"/>
    <w:qFormat/>
    <w:rPr>
      <w:rFonts w:ascii="Symbol" w:hAnsi="Symbol" w:cs="Symbol"/>
    </w:rPr>
  </w:style>
  <w:style w:type="character" w:styleId="WW8Num298z0">
    <w:name w:val="WW8Num298z0"/>
    <w:qFormat/>
    <w:rPr>
      <w:b/>
    </w:rPr>
  </w:style>
  <w:style w:type="character" w:styleId="WW8Num300z0">
    <w:name w:val="WW8Num300z0"/>
    <w:qFormat/>
    <w:rPr>
      <w:rFonts w:ascii="Symbol" w:hAnsi="Symbol" w:cs="Symbol"/>
    </w:rPr>
  </w:style>
  <w:style w:type="character" w:styleId="WW8Num300z2">
    <w:name w:val="WW8Num300z2"/>
    <w:qFormat/>
    <w:rPr>
      <w:rFonts w:ascii="Wingdings" w:hAnsi="Wingdings" w:cs="Wingdings"/>
    </w:rPr>
  </w:style>
  <w:style w:type="character" w:styleId="WW8Num300z4">
    <w:name w:val="WW8Num300z4"/>
    <w:qFormat/>
    <w:rPr>
      <w:rFonts w:ascii="Courier New" w:hAnsi="Courier New" w:cs="Courier New"/>
    </w:rPr>
  </w:style>
  <w:style w:type="character" w:styleId="WW8Num301z0">
    <w:name w:val="WW8Num301z0"/>
    <w:qFormat/>
    <w:rPr>
      <w:rFonts w:ascii="Symbol" w:hAnsi="Symbol" w:cs="Symbol"/>
      <w:color w:val="auto"/>
    </w:rPr>
  </w:style>
  <w:style w:type="character" w:styleId="WW8Num302z0">
    <w:name w:val="WW8Num302z0"/>
    <w:qFormat/>
    <w:rPr>
      <w:b/>
    </w:rPr>
  </w:style>
  <w:style w:type="character" w:styleId="WW8Num303z0">
    <w:name w:val="WW8Num303z0"/>
    <w:qFormat/>
    <w:rPr>
      <w:rFonts w:ascii="Symbol" w:hAnsi="Symbol" w:cs="Symbol"/>
    </w:rPr>
  </w:style>
  <w:style w:type="character" w:styleId="WW8Num304z0">
    <w:name w:val="WW8Num304z0"/>
    <w:qFormat/>
    <w:rPr>
      <w:rFonts w:ascii="Symbol" w:hAnsi="Symbol" w:cs="Symbol"/>
      <w:color w:val="auto"/>
    </w:rPr>
  </w:style>
  <w:style w:type="character" w:styleId="WW8Num305z0">
    <w:name w:val="WW8Num305z0"/>
    <w:qFormat/>
    <w:rPr>
      <w:rFonts w:ascii="Symbol" w:hAnsi="Symbol" w:cs="Symbol"/>
      <w:sz w:val="20"/>
    </w:rPr>
  </w:style>
  <w:style w:type="character" w:styleId="WW8Num305z1">
    <w:name w:val="WW8Num305z1"/>
    <w:qFormat/>
    <w:rPr>
      <w:rFonts w:ascii="Courier New" w:hAnsi="Courier New" w:cs="Courier New"/>
      <w:sz w:val="20"/>
    </w:rPr>
  </w:style>
  <w:style w:type="character" w:styleId="WW8Num305z2">
    <w:name w:val="WW8Num305z2"/>
    <w:qFormat/>
    <w:rPr>
      <w:rFonts w:ascii="Wingdings" w:hAnsi="Wingdings" w:cs="Wingdings"/>
      <w:sz w:val="20"/>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sz w:val="20"/>
    </w:rPr>
  </w:style>
  <w:style w:type="character" w:styleId="WW8Num311z1">
    <w:name w:val="WW8Num311z1"/>
    <w:qFormat/>
    <w:rPr>
      <w:rFonts w:ascii="Courier New" w:hAnsi="Courier New" w:cs="Courier New"/>
      <w:sz w:val="20"/>
    </w:rPr>
  </w:style>
  <w:style w:type="character" w:styleId="WW8Num311z2">
    <w:name w:val="WW8Num311z2"/>
    <w:qFormat/>
    <w:rPr>
      <w:rFonts w:ascii="Wingdings" w:hAnsi="Wingdings" w:cs="Wingdings"/>
      <w:sz w:val="20"/>
    </w:rPr>
  </w:style>
  <w:style w:type="character" w:styleId="WW8Num312z0">
    <w:name w:val="WW8Num312z0"/>
    <w:qFormat/>
    <w:rPr>
      <w:b/>
    </w:rPr>
  </w:style>
  <w:style w:type="character" w:styleId="WW8Num314z0">
    <w:name w:val="WW8Num314z0"/>
    <w:qFormat/>
    <w:rPr>
      <w:rFonts w:ascii="Symbol" w:hAnsi="Symbol" w:cs="Symbol"/>
      <w:color w:val="0000FF"/>
    </w:rPr>
  </w:style>
  <w:style w:type="character" w:styleId="WW8Num317z0">
    <w:name w:val="WW8Num317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Times New Roman" w:hAnsi="Times New Roman" w:cs="Times New Roman"/>
    </w:rPr>
  </w:style>
  <w:style w:type="character" w:styleId="WW8Num321z0">
    <w:name w:val="WW8Num321z0"/>
    <w:qFormat/>
    <w:rPr>
      <w:rFonts w:ascii="Symbol" w:hAnsi="Symbol" w:cs="Symbol"/>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5z0">
    <w:name w:val="WW8Num325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29z2">
    <w:name w:val="WW8Num329z2"/>
    <w:qFormat/>
    <w:rPr>
      <w:rFonts w:ascii="Wingdings" w:hAnsi="Wingdings" w:cs="Wingdings"/>
    </w:rPr>
  </w:style>
  <w:style w:type="character" w:styleId="WW8Num329z4">
    <w:name w:val="WW8Num329z4"/>
    <w:qFormat/>
    <w:rPr>
      <w:rFonts w:ascii="Courier New" w:hAnsi="Courier New" w:cs="Courier New"/>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4z0">
    <w:name w:val="WW8Num334z0"/>
    <w:qFormat/>
    <w:rPr>
      <w:rFonts w:ascii="Symbol" w:hAnsi="Symbol" w:cs="Symbol"/>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5z0">
    <w:name w:val="WW8Num335z0"/>
    <w:qFormat/>
    <w:rPr>
      <w:rFonts w:ascii="Symbol" w:hAnsi="Symbol" w:cs="Symbol"/>
    </w:rPr>
  </w:style>
  <w:style w:type="character" w:styleId="WW8Num336z0">
    <w:name w:val="WW8Num336z0"/>
    <w:qFormat/>
    <w:rPr/>
  </w:style>
  <w:style w:type="character" w:styleId="WW8Num338z2">
    <w:name w:val="WW8Num338z2"/>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b/>
      <w:u w:val="single"/>
    </w:rPr>
  </w:style>
  <w:style w:type="character" w:styleId="WW8Num341z0">
    <w:name w:val="WW8Num341z0"/>
    <w:qFormat/>
    <w:rPr>
      <w:rFonts w:ascii="Times New Roman" w:hAnsi="Times New Roman" w:cs="Times New Roman"/>
      <w:sz w:val="22"/>
    </w:rPr>
  </w:style>
  <w:style w:type="character" w:styleId="WW8Num342z0">
    <w:name w:val="WW8Num342z0"/>
    <w:qFormat/>
    <w:rPr>
      <w:b/>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49z2">
    <w:name w:val="WW8Num349z2"/>
    <w:qFormat/>
    <w:rPr>
      <w:rFonts w:ascii="Wingdings" w:hAnsi="Wingdings" w:cs="Wingdings"/>
    </w:rPr>
  </w:style>
  <w:style w:type="character" w:styleId="WW8Num349z4">
    <w:name w:val="WW8Num349z4"/>
    <w:qFormat/>
    <w:rPr>
      <w:rFonts w:ascii="Courier New" w:hAnsi="Courier New" w:cs="Courier New"/>
    </w:rPr>
  </w:style>
  <w:style w:type="character" w:styleId="WW8Num350z0">
    <w:name w:val="WW8Num350z0"/>
    <w:qFormat/>
    <w:rPr>
      <w:rFonts w:ascii="Symbol" w:hAnsi="Symbol" w:cs="Symbol"/>
    </w:rPr>
  </w:style>
  <w:style w:type="character" w:styleId="WW8Num350z1">
    <w:name w:val="WW8Num350z1"/>
    <w:qFormat/>
    <w:rPr>
      <w:rFonts w:ascii="Courier New" w:hAnsi="Courier New" w:cs="Courier New"/>
    </w:rPr>
  </w:style>
  <w:style w:type="character" w:styleId="WW8Num350z2">
    <w:name w:val="WW8Num350z2"/>
    <w:qFormat/>
    <w:rPr>
      <w:rFonts w:ascii="Wingdings" w:hAnsi="Wingdings" w:cs="Wingdings"/>
    </w:rPr>
  </w:style>
  <w:style w:type="character" w:styleId="WW8Num352z0">
    <w:name w:val="WW8Num352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7z0">
    <w:name w:val="WW8Num357z0"/>
    <w:qFormat/>
    <w:rPr>
      <w:rFonts w:ascii="Symbol" w:hAnsi="Symbol" w:cs="Symbol"/>
    </w:rPr>
  </w:style>
  <w:style w:type="character" w:styleId="WW8Num357z2">
    <w:name w:val="WW8Num357z2"/>
    <w:qFormat/>
    <w:rPr>
      <w:rFonts w:ascii="Wingdings" w:hAnsi="Wingdings" w:cs="Wingdings"/>
    </w:rPr>
  </w:style>
  <w:style w:type="character" w:styleId="WW8Num357z4">
    <w:name w:val="WW8Num357z4"/>
    <w:qFormat/>
    <w:rPr>
      <w:rFonts w:ascii="Courier New" w:hAnsi="Courier New" w:cs="Courier New"/>
    </w:rPr>
  </w:style>
  <w:style w:type="character" w:styleId="WW8Num358z0">
    <w:name w:val="WW8Num358z0"/>
    <w:qFormat/>
    <w:rPr>
      <w:u w:val="none"/>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0z2">
    <w:name w:val="WW8Num360z2"/>
    <w:qFormat/>
    <w:rPr>
      <w:rFonts w:ascii="Wingdings" w:hAnsi="Wingdings" w:cs="Wingdings"/>
    </w:rPr>
  </w:style>
  <w:style w:type="character" w:styleId="WW8Num360z4">
    <w:name w:val="WW8Num360z4"/>
    <w:qFormat/>
    <w:rPr>
      <w:rFonts w:ascii="Courier New" w:hAnsi="Courier New" w:cs="Courier New"/>
    </w:rPr>
  </w:style>
  <w:style w:type="character" w:styleId="WW8Num361z0">
    <w:name w:val="WW8Num361z0"/>
    <w:qFormat/>
    <w:rPr>
      <w:b/>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4z2">
    <w:name w:val="WW8Num364z2"/>
    <w:qFormat/>
    <w:rPr>
      <w:rFonts w:ascii="Wingdings" w:hAnsi="Wingdings" w:cs="Wingdings"/>
    </w:rPr>
  </w:style>
  <w:style w:type="character" w:styleId="WW8Num364z4">
    <w:name w:val="WW8Num364z4"/>
    <w:qFormat/>
    <w:rPr>
      <w:rFonts w:ascii="Courier New" w:hAnsi="Courier New" w:cs="Courier New"/>
    </w:rPr>
  </w:style>
  <w:style w:type="character" w:styleId="WW8Num365z0">
    <w:name w:val="WW8Num365z0"/>
    <w:qFormat/>
    <w:rPr>
      <w:rFonts w:ascii="Symbol" w:hAnsi="Symbol" w:cs="Symbol"/>
    </w:rPr>
  </w:style>
  <w:style w:type="character" w:styleId="WW8Num365z2">
    <w:name w:val="WW8Num365z2"/>
    <w:qFormat/>
    <w:rPr/>
  </w:style>
  <w:style w:type="character" w:styleId="WW8Num365z4">
    <w:name w:val="WW8Num365z4"/>
    <w:qFormat/>
    <w:rPr>
      <w:rFonts w:ascii="Courier New" w:hAnsi="Courier New" w:cs="Courier New"/>
    </w:rPr>
  </w:style>
  <w:style w:type="character" w:styleId="WW8Num365z5">
    <w:name w:val="WW8Num365z5"/>
    <w:qFormat/>
    <w:rPr>
      <w:rFonts w:ascii="Wingdings" w:hAnsi="Wingdings" w:cs="Wingdings"/>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1z1">
    <w:name w:val="WW8Num371z1"/>
    <w:qFormat/>
    <w:rPr>
      <w:rFonts w:ascii="Courier New" w:hAnsi="Courier New" w:cs="Courier New"/>
    </w:rPr>
  </w:style>
  <w:style w:type="character" w:styleId="WW8Num371z2">
    <w:name w:val="WW8Num371z2"/>
    <w:qFormat/>
    <w:rPr>
      <w:rFonts w:ascii="Wingdings" w:hAnsi="Wingdings" w:cs="Wingdings"/>
    </w:rPr>
  </w:style>
  <w:style w:type="character" w:styleId="WW8Num372z0">
    <w:name w:val="WW8Num372z0"/>
    <w:qFormat/>
    <w:rPr>
      <w:rFonts w:ascii="Symbol" w:hAnsi="Symbol" w:cs="Symbol"/>
    </w:rPr>
  </w:style>
  <w:style w:type="character" w:styleId="WW8Num372z2">
    <w:name w:val="WW8Num372z2"/>
    <w:qFormat/>
    <w:rPr>
      <w:rFonts w:ascii="Wingdings" w:hAnsi="Wingdings" w:cs="Wingdings"/>
    </w:rPr>
  </w:style>
  <w:style w:type="character" w:styleId="WW8Num372z4">
    <w:name w:val="WW8Num372z4"/>
    <w:qFormat/>
    <w:rPr>
      <w:rFonts w:ascii="Courier New" w:hAnsi="Courier New" w:cs="Courier New"/>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b/>
    </w:rPr>
  </w:style>
  <w:style w:type="character" w:styleId="WW8Num377z0">
    <w:name w:val="WW8Num377z0"/>
    <w:qFormat/>
    <w:rPr>
      <w:rFonts w:ascii="Wingdings" w:hAnsi="Wingdings" w:cs="Wingdings"/>
      <w:sz w:val="16"/>
    </w:rPr>
  </w:style>
  <w:style w:type="character" w:styleId="WW8Num378z0">
    <w:name w:val="WW8Num378z0"/>
    <w:qFormat/>
    <w:rPr>
      <w:rFonts w:ascii="Wingdings" w:hAnsi="Wingdings" w:cs="Wingdings"/>
    </w:rPr>
  </w:style>
  <w:style w:type="character" w:styleId="WW8Num379z0">
    <w:name w:val="WW8Num379z0"/>
    <w:qFormat/>
    <w:rPr>
      <w:rFonts w:ascii="Symbol" w:hAnsi="Symbol" w:cs="Symbol"/>
    </w:rPr>
  </w:style>
  <w:style w:type="character" w:styleId="WW8Num381z0">
    <w:name w:val="WW8Num381z0"/>
    <w:qFormat/>
    <w:rPr>
      <w:rFonts w:ascii="Wingdings" w:hAnsi="Wingdings" w:cs="Wingdings"/>
      <w:sz w:val="16"/>
    </w:rPr>
  </w:style>
  <w:style w:type="character" w:styleId="WW8Num383z0">
    <w:name w:val="WW8Num383z0"/>
    <w:qFormat/>
    <w:rPr>
      <w:rFonts w:ascii="Wingdings" w:hAnsi="Wingdings" w:cs="Wingdings"/>
    </w:rPr>
  </w:style>
  <w:style w:type="character" w:styleId="WW8Num384z0">
    <w:name w:val="WW8Num384z0"/>
    <w:qFormat/>
    <w:rPr>
      <w:b/>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6z2">
    <w:name w:val="WW8Num386z2"/>
    <w:qFormat/>
    <w:rPr>
      <w:rFonts w:ascii="Wingdings" w:hAnsi="Wingdings" w:cs="Wingdings"/>
    </w:rPr>
  </w:style>
  <w:style w:type="character" w:styleId="WW8Num386z4">
    <w:name w:val="WW8Num386z4"/>
    <w:qFormat/>
    <w:rPr>
      <w:rFonts w:ascii="Courier New" w:hAnsi="Courier New" w:cs="Courier New"/>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2z0">
    <w:name w:val="WW8Num392z0"/>
    <w:qFormat/>
    <w:rPr>
      <w:rFonts w:ascii="Symbol" w:hAnsi="Symbol" w:cs="Symbol"/>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3z0">
    <w:name w:val="WW8Num393z0"/>
    <w:qFormat/>
    <w:rPr>
      <w:b/>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400z0">
    <w:name w:val="WW8Num400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7z0">
    <w:name w:val="WW8Num407z0"/>
    <w:qFormat/>
    <w:rPr>
      <w:rFonts w:ascii="Symbol" w:hAnsi="Symbol" w:cs="Symbol"/>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8z0">
    <w:name w:val="WW8Num408z0"/>
    <w:qFormat/>
    <w:rPr>
      <w:rFonts w:ascii="Symbol" w:hAnsi="Symbol" w:cs="Symbol"/>
      <w:sz w:val="20"/>
    </w:rPr>
  </w:style>
  <w:style w:type="character" w:styleId="WW8Num408z1">
    <w:name w:val="WW8Num408z1"/>
    <w:qFormat/>
    <w:rPr>
      <w:rFonts w:ascii="Courier New" w:hAnsi="Courier New" w:cs="Courier New"/>
      <w:sz w:val="20"/>
    </w:rPr>
  </w:style>
  <w:style w:type="character" w:styleId="WW8Num408z2">
    <w:name w:val="WW8Num408z2"/>
    <w:qFormat/>
    <w:rPr>
      <w:rFonts w:ascii="Wingdings" w:hAnsi="Wingdings" w:cs="Wingdings"/>
      <w:sz w:val="20"/>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21z0">
    <w:name w:val="WW8Num421z0"/>
    <w:qFormat/>
    <w:rPr>
      <w:rFonts w:ascii="Symbol" w:hAnsi="Symbol" w:cs="Symbol"/>
      <w:sz w:val="20"/>
    </w:rPr>
  </w:style>
  <w:style w:type="character" w:styleId="WW8Num421z1">
    <w:name w:val="WW8Num421z1"/>
    <w:qFormat/>
    <w:rPr>
      <w:rFonts w:ascii="Symbol" w:hAnsi="Symbol" w:cs="Symbol"/>
    </w:rPr>
  </w:style>
  <w:style w:type="character" w:styleId="WW8Num421z2">
    <w:name w:val="WW8Num421z2"/>
    <w:qFormat/>
    <w:rPr>
      <w:rFonts w:ascii="Wingdings" w:hAnsi="Wingdings" w:cs="Wingdings"/>
      <w:sz w:val="20"/>
    </w:rPr>
  </w:style>
  <w:style w:type="character" w:styleId="WW8Num422z0">
    <w:name w:val="WW8Num422z0"/>
    <w:qFormat/>
    <w:rPr>
      <w:rFonts w:ascii="Symbol" w:hAnsi="Symbol" w:cs="Symbol"/>
    </w:rPr>
  </w:style>
  <w:style w:type="character" w:styleId="WW8Num422z1">
    <w:name w:val="WW8Num422z1"/>
    <w:qFormat/>
    <w:rPr>
      <w:rFonts w:ascii="Courier New" w:hAnsi="Courier New" w:cs="Courier New"/>
    </w:rPr>
  </w:style>
  <w:style w:type="character" w:styleId="WW8Num422z2">
    <w:name w:val="WW8Num422z2"/>
    <w:qFormat/>
    <w:rPr>
      <w:rFonts w:ascii="Wingdings" w:hAnsi="Wingdings" w:cs="Wingdings"/>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b/>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4z0">
    <w:name w:val="WW8Num434z0"/>
    <w:qFormat/>
    <w:rPr>
      <w:rFonts w:ascii="Symbol" w:hAnsi="Symbol" w:cs="Symbol"/>
    </w:rPr>
  </w:style>
  <w:style w:type="character" w:styleId="WW8Num436z0">
    <w:name w:val="WW8Num436z0"/>
    <w:qFormat/>
    <w:rPr>
      <w:rFonts w:ascii="Symbol" w:hAnsi="Symbol" w:cs="Symbol"/>
    </w:rPr>
  </w:style>
  <w:style w:type="character" w:styleId="WW8Num436z1">
    <w:name w:val="WW8Num436z1"/>
    <w:qFormat/>
    <w:rPr>
      <w:rFonts w:ascii="Courier New" w:hAnsi="Courier New" w:cs="Courier New"/>
    </w:rPr>
  </w:style>
  <w:style w:type="character" w:styleId="WW8Num436z2">
    <w:name w:val="WW8Num436z2"/>
    <w:qFormat/>
    <w:rPr>
      <w:rFonts w:ascii="Wingdings" w:hAnsi="Wingdings" w:cs="Wingdings"/>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0z2">
    <w:name w:val="WW8Num440z2"/>
    <w:qFormat/>
    <w:rPr>
      <w:rFonts w:ascii="Wingdings" w:hAnsi="Wingdings" w:cs="Wingdings"/>
    </w:rPr>
  </w:style>
  <w:style w:type="character" w:styleId="WW8Num440z4">
    <w:name w:val="WW8Num440z4"/>
    <w:qFormat/>
    <w:rPr>
      <w:rFonts w:ascii="Courier New" w:hAnsi="Courier New" w:cs="Courier New"/>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4z0">
    <w:name w:val="WW8Num444z0"/>
    <w:qFormat/>
    <w:rPr>
      <w:rFonts w:ascii="Wingdings" w:hAnsi="Wingdings" w:cs="Wingdings"/>
    </w:rPr>
  </w:style>
  <w:style w:type="character" w:styleId="WW8Num445z0">
    <w:name w:val="WW8Num445z0"/>
    <w:qFormat/>
    <w:rPr>
      <w:rFonts w:ascii="Symbol" w:hAnsi="Symbol" w:cs="Symbol"/>
    </w:rPr>
  </w:style>
  <w:style w:type="character" w:styleId="WW8Num446z0">
    <w:name w:val="WW8Num446z0"/>
    <w:qFormat/>
    <w:rPr>
      <w:u w:val="none"/>
    </w:rPr>
  </w:style>
  <w:style w:type="character" w:styleId="WW8Num447z0">
    <w:name w:val="WW8Num447z0"/>
    <w:qFormat/>
    <w:rPr>
      <w:rFonts w:ascii="Symbol" w:hAnsi="Symbol" w:cs="Symbol"/>
    </w:rPr>
  </w:style>
  <w:style w:type="character" w:styleId="WW8Num448z0">
    <w:name w:val="WW8Num448z0"/>
    <w:qFormat/>
    <w:rPr>
      <w:b/>
    </w:rPr>
  </w:style>
  <w:style w:type="character" w:styleId="WW8Num449z0">
    <w:name w:val="WW8Num449z0"/>
    <w:qFormat/>
    <w:rPr>
      <w:rFonts w:ascii="Times New Roman" w:hAnsi="Times New Roman" w:cs="Times New Roman"/>
    </w:rPr>
  </w:style>
  <w:style w:type="character" w:styleId="WW8Num450z0">
    <w:name w:val="WW8Num450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b/>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sz w:val="20"/>
    </w:rPr>
  </w:style>
  <w:style w:type="character" w:styleId="WW8Num462z1">
    <w:name w:val="WW8Num462z1"/>
    <w:qFormat/>
    <w:rPr>
      <w:rFonts w:ascii="Courier New" w:hAnsi="Courier New" w:cs="Courier New"/>
      <w:sz w:val="20"/>
    </w:rPr>
  </w:style>
  <w:style w:type="character" w:styleId="WW8Num462z2">
    <w:name w:val="WW8Num462z2"/>
    <w:qFormat/>
    <w:rPr>
      <w:rFonts w:ascii="Wingdings" w:hAnsi="Wingdings" w:cs="Wingdings"/>
      <w:sz w:val="20"/>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8z2">
    <w:name w:val="WW8Num468z2"/>
    <w:qFormat/>
    <w:rPr>
      <w:rFonts w:ascii="Wingdings" w:hAnsi="Wingdings" w:cs="Wingdings"/>
    </w:rPr>
  </w:style>
  <w:style w:type="character" w:styleId="WW8Num468z4">
    <w:name w:val="WW8Num468z4"/>
    <w:qFormat/>
    <w:rPr>
      <w:rFonts w:ascii="Courier New" w:hAnsi="Courier New" w:cs="Courier New"/>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8z1">
    <w:name w:val="WW8Num478z1"/>
    <w:qFormat/>
    <w:rPr>
      <w:rFonts w:ascii="Courier New" w:hAnsi="Courier New" w:cs="Courier New"/>
    </w:rPr>
  </w:style>
  <w:style w:type="character" w:styleId="WW8Num478z2">
    <w:name w:val="WW8Num478z2"/>
    <w:qFormat/>
    <w:rPr>
      <w:rFonts w:ascii="Wingdings" w:hAnsi="Wingdings" w:cs="Wingdings"/>
    </w:rPr>
  </w:style>
  <w:style w:type="character" w:styleId="WW8Num481z0">
    <w:name w:val="WW8Num481z0"/>
    <w:qFormat/>
    <w:rPr>
      <w:b/>
    </w:rPr>
  </w:style>
  <w:style w:type="character" w:styleId="WW8Num482z0">
    <w:name w:val="WW8Num482z0"/>
    <w:qFormat/>
    <w:rPr>
      <w:rFonts w:ascii="Symbol" w:hAnsi="Symbol" w:cs="Symbol"/>
    </w:rPr>
  </w:style>
  <w:style w:type="character" w:styleId="WW8Num482z2">
    <w:name w:val="WW8Num482z2"/>
    <w:qFormat/>
    <w:rPr>
      <w:rFonts w:ascii="Wingdings" w:hAnsi="Wingdings" w:cs="Wingdings"/>
    </w:rPr>
  </w:style>
  <w:style w:type="character" w:styleId="WW8Num482z4">
    <w:name w:val="WW8Num482z4"/>
    <w:qFormat/>
    <w:rPr>
      <w:rFonts w:ascii="Courier New" w:hAnsi="Courier New" w:cs="Courier New"/>
    </w:rPr>
  </w:style>
  <w:style w:type="character" w:styleId="WW8Num486z0">
    <w:name w:val="WW8Num486z0"/>
    <w:qFormat/>
    <w:rPr>
      <w:rFonts w:ascii="Symbol" w:hAnsi="Symbol" w:cs="Symbol"/>
    </w:rPr>
  </w:style>
  <w:style w:type="character" w:styleId="WW8Num487z0">
    <w:name w:val="WW8Num487z0"/>
    <w:qFormat/>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sz w:val="20"/>
    </w:rPr>
  </w:style>
  <w:style w:type="character" w:styleId="WW8Num491z1">
    <w:name w:val="WW8Num491z1"/>
    <w:qFormat/>
    <w:rPr>
      <w:rFonts w:ascii="Courier New" w:hAnsi="Courier New" w:cs="Courier New"/>
      <w:sz w:val="20"/>
    </w:rPr>
  </w:style>
  <w:style w:type="character" w:styleId="WW8Num491z2">
    <w:name w:val="WW8Num491z2"/>
    <w:qFormat/>
    <w:rPr>
      <w:rFonts w:ascii="Wingdings" w:hAnsi="Wingdings" w:cs="Wingdings"/>
      <w:sz w:val="20"/>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b/>
    </w:rPr>
  </w:style>
  <w:style w:type="character" w:styleId="WW8Num497z0">
    <w:name w:val="WW8Num497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1z2">
    <w:name w:val="WW8Num501z2"/>
    <w:qFormat/>
    <w:rPr>
      <w:rFonts w:ascii="Wingdings" w:hAnsi="Wingdings" w:cs="Wingdings"/>
    </w:rPr>
  </w:style>
  <w:style w:type="character" w:styleId="WW8Num501z4">
    <w:name w:val="WW8Num501z4"/>
    <w:qFormat/>
    <w:rPr>
      <w:rFonts w:ascii="Courier New" w:hAnsi="Courier New" w:cs="Courier New"/>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Times New Roman" w:hAnsi="Times New Roman" w:cs="Times New Roman"/>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4z0">
    <w:name w:val="WW8Num514z0"/>
    <w:qFormat/>
    <w:rPr>
      <w:b/>
    </w:rPr>
  </w:style>
  <w:style w:type="character" w:styleId="WW8Num516z0">
    <w:name w:val="WW8Num516z0"/>
    <w:qFormat/>
    <w:rPr>
      <w:rFonts w:ascii="Wingdings" w:hAnsi="Wingdings" w:cs="Wingdings"/>
    </w:rPr>
  </w:style>
  <w:style w:type="character" w:styleId="WW8Num517z0">
    <w:name w:val="WW8Num517z0"/>
    <w:qFormat/>
    <w:rPr>
      <w:rFonts w:ascii="Symbol" w:hAnsi="Symbol" w:cs="Symbol"/>
    </w:rPr>
  </w:style>
  <w:style w:type="character" w:styleId="WW8Num519z0">
    <w:name w:val="WW8Num519z0"/>
    <w:qFormat/>
    <w:rPr>
      <w:b/>
    </w:rPr>
  </w:style>
  <w:style w:type="character" w:styleId="WW8Num520z0">
    <w:name w:val="WW8Num520z0"/>
    <w:qFormat/>
    <w:rPr>
      <w:rFonts w:ascii="Symbol" w:hAnsi="Symbol" w:cs="Symbol"/>
    </w:rPr>
  </w:style>
  <w:style w:type="character" w:styleId="WW8Num520z1">
    <w:name w:val="WW8Num520z1"/>
    <w:qFormat/>
    <w:rPr>
      <w:rFonts w:ascii="Courier New" w:hAnsi="Courier New" w:cs="Courier New"/>
    </w:rPr>
  </w:style>
  <w:style w:type="character" w:styleId="WW8Num520z2">
    <w:name w:val="WW8Num520z2"/>
    <w:qFormat/>
    <w:rPr>
      <w:rFonts w:ascii="Wingdings" w:hAnsi="Wingdings" w:cs="Wingdings"/>
    </w:rPr>
  </w:style>
  <w:style w:type="character" w:styleId="WW8Num521z0">
    <w:name w:val="WW8Num521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7z0">
    <w:name w:val="WW8Num527z0"/>
    <w:qFormat/>
    <w:rPr>
      <w:rFonts w:ascii="Symbol" w:hAnsi="Symbol" w:cs="Symbol"/>
      <w:sz w:val="20"/>
    </w:rPr>
  </w:style>
  <w:style w:type="character" w:styleId="WW8Num527z1">
    <w:name w:val="WW8Num527z1"/>
    <w:qFormat/>
    <w:rPr>
      <w:rFonts w:ascii="Courier New" w:hAnsi="Courier New" w:cs="Courier New"/>
      <w:sz w:val="20"/>
    </w:rPr>
  </w:style>
  <w:style w:type="character" w:styleId="WW8Num527z2">
    <w:name w:val="WW8Num527z2"/>
    <w:qFormat/>
    <w:rPr>
      <w:rFonts w:ascii="Wingdings" w:hAnsi="Wingdings" w:cs="Wingdings"/>
      <w:sz w:val="20"/>
    </w:rPr>
  </w:style>
  <w:style w:type="character" w:styleId="WW8Num528z0">
    <w:name w:val="WW8Num528z0"/>
    <w:qFormat/>
    <w:rPr>
      <w:rFonts w:ascii="Symbol" w:hAnsi="Symbol" w:cs="Symbol"/>
    </w:rPr>
  </w:style>
  <w:style w:type="character" w:styleId="WW8Num528z2">
    <w:name w:val="WW8Num528z2"/>
    <w:qFormat/>
    <w:rPr>
      <w:rFonts w:ascii="Wingdings" w:hAnsi="Wingdings" w:cs="Wingdings"/>
    </w:rPr>
  </w:style>
  <w:style w:type="character" w:styleId="WW8Num528z4">
    <w:name w:val="WW8Num528z4"/>
    <w:qFormat/>
    <w:rPr>
      <w:rFonts w:ascii="Courier New" w:hAnsi="Courier New" w:cs="Courier New"/>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4z0">
    <w:name w:val="WW8Num534z0"/>
    <w:qFormat/>
    <w:rPr>
      <w:rFonts w:ascii="Symbol" w:hAnsi="Symbol" w:cs="Symbol"/>
      <w:sz w:val="20"/>
    </w:rPr>
  </w:style>
  <w:style w:type="character" w:styleId="WW8Num534z1">
    <w:name w:val="WW8Num534z1"/>
    <w:qFormat/>
    <w:rPr>
      <w:rFonts w:ascii="Courier New" w:hAnsi="Courier New" w:cs="Courier New"/>
      <w:sz w:val="20"/>
    </w:rPr>
  </w:style>
  <w:style w:type="character" w:styleId="WW8Num534z2">
    <w:name w:val="WW8Num534z2"/>
    <w:qFormat/>
    <w:rPr>
      <w:rFonts w:ascii="Wingdings" w:hAnsi="Wingdings" w:cs="Wingdings"/>
      <w:sz w:val="20"/>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9z0">
    <w:name w:val="WW8Num539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2z2">
    <w:name w:val="WW8Num542z2"/>
    <w:qFormat/>
    <w:rPr>
      <w:rFonts w:ascii="Wingdings" w:hAnsi="Wingdings" w:cs="Wingdings"/>
    </w:rPr>
  </w:style>
  <w:style w:type="character" w:styleId="WW8Num542z4">
    <w:name w:val="WW8Num542z4"/>
    <w:qFormat/>
    <w:rPr>
      <w:rFonts w:ascii="Courier New" w:hAnsi="Courier New" w:cs="Courier New"/>
    </w:rPr>
  </w:style>
  <w:style w:type="character" w:styleId="WW8Num544z0">
    <w:name w:val="WW8Num544z0"/>
    <w:qFormat/>
    <w:rPr>
      <w:rFonts w:ascii="Symbol" w:hAnsi="Symbol" w:cs="Symbol"/>
    </w:rPr>
  </w:style>
  <w:style w:type="character" w:styleId="WW8Num545z0">
    <w:name w:val="WW8Num545z0"/>
    <w:qFormat/>
    <w:rPr>
      <w:b/>
    </w:rPr>
  </w:style>
  <w:style w:type="character" w:styleId="WW8Num546z0">
    <w:name w:val="WW8Num546z0"/>
    <w:qFormat/>
    <w:rPr>
      <w:rFonts w:ascii="Symbol" w:hAnsi="Symbol" w:cs="Symbol"/>
    </w:rPr>
  </w:style>
  <w:style w:type="character" w:styleId="WW8Num547z0">
    <w:name w:val="WW8Num547z0"/>
    <w:qFormat/>
    <w:rPr>
      <w:rFonts w:ascii="Times New Roman" w:hAnsi="Times New Roman" w:cs="Times New Roman"/>
      <w:sz w:val="22"/>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3z1">
    <w:name w:val="WW8Num553z1"/>
    <w:qFormat/>
    <w:rPr>
      <w:rFonts w:ascii="Symbol" w:hAnsi="Symbol" w:cs="Symbol"/>
    </w:rPr>
  </w:style>
  <w:style w:type="character" w:styleId="WW8Num554z0">
    <w:name w:val="WW8Num554z0"/>
    <w:qFormat/>
    <w:rPr>
      <w:b/>
    </w:rPr>
  </w:style>
  <w:style w:type="character" w:styleId="WW8NumSt69z0">
    <w:name w:val="WW8NumSt69z0"/>
    <w:qFormat/>
    <w:rPr>
      <w:rFonts w:ascii="Symbol" w:hAnsi="Symbol" w:cs="Symbol"/>
    </w:rPr>
  </w:style>
  <w:style w:type="character" w:styleId="WW8NumSt81z0">
    <w:name w:val="WW8NumSt81z0"/>
    <w:qFormat/>
    <w:rPr>
      <w:rFonts w:ascii="Symbol" w:hAnsi="Symbol" w:cs="Symbol"/>
    </w:rPr>
  </w:style>
  <w:style w:type="character" w:styleId="WW8NumSt243z0">
    <w:name w:val="WW8NumSt243z0"/>
    <w:qFormat/>
    <w:rPr>
      <w:rFonts w:ascii="Symbol" w:hAnsi="Symbol" w:cs="Symbol"/>
      <w:color w:val="0000FF"/>
    </w:rPr>
  </w:style>
  <w:style w:type="character" w:styleId="WW8NumSt394z0">
    <w:name w:val="WW8NumSt394z0"/>
    <w:qFormat/>
    <w:rPr>
      <w:rFonts w:ascii="Symbol" w:hAnsi="Symbol" w:cs="Symbol"/>
    </w:rPr>
  </w:style>
  <w:style w:type="character" w:styleId="WW8NumSt426z0">
    <w:name w:val="WW8NumSt426z0"/>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4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EndnoteText">
    <w:name w:val="endnote text"/>
    <w:basedOn w:val="Normal"/>
    <w:pPr/>
    <w:rPr/>
  </w:style>
  <w:style w:type="paragraph" w:styleId="BodyTextIndent">
    <w:name w:val="Body Text Indent"/>
    <w:basedOn w:val="Normal"/>
    <w:pPr>
      <w:ind w:hanging="0" w:start="360" w:end="0"/>
    </w:pPr>
    <w:rPr>
      <w:sz w:val="24"/>
    </w:rPr>
  </w:style>
  <w:style w:type="paragraph" w:styleId="BodyText3">
    <w:name w:val="Body Text 3"/>
    <w:basedOn w:val="Normal"/>
    <w:qFormat/>
    <w:pPr>
      <w:jc w:val="both"/>
    </w:pPr>
    <w:rPr>
      <w:sz w:val="24"/>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4"/>
    </w:rPr>
  </w:style>
  <w:style w:type="paragraph" w:styleId="BodyTextIndent2">
    <w:name w:val="Body Text Indent 2"/>
    <w:basedOn w:val="Normal"/>
    <w:qFormat/>
    <w:pPr>
      <w:ind w:firstLine="720" w:start="0" w:end="0"/>
      <w:jc w:val="both"/>
    </w:pPr>
    <w:rPr>
      <w:sz w:val="24"/>
    </w:rPr>
  </w:style>
  <w:style w:type="paragraph" w:styleId="Star1">
    <w:name w:val="Star1"/>
    <w:basedOn w:val="Normal"/>
    <w:qFormat/>
    <w:pPr/>
    <w:rPr>
      <w:b/>
      <w:sz w:val="22"/>
    </w:rPr>
  </w:style>
  <w:style w:type="paragraph" w:styleId="Star2">
    <w:name w:val="Star2"/>
    <w:basedOn w:val="Normal"/>
    <w:qFormat/>
    <w:pPr>
      <w:widowControl w:val="false"/>
    </w:pPr>
    <w:rPr>
      <w:b/>
      <w:sz w:val="22"/>
      <w:u w:val="single"/>
    </w:rPr>
  </w:style>
  <w:style w:type="paragraph" w:styleId="ListBullet2">
    <w:name w:val="List Bullet 2"/>
    <w:basedOn w:val="Normal"/>
    <w:pPr>
      <w:ind w:hanging="360" w:start="720" w:end="0"/>
    </w:pPr>
    <w:rPr>
      <w:color w:val="008000"/>
      <w:sz w:val="20"/>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firstLine="36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pplier.bge.com/main/" TargetMode="External"/><Relationship Id="rId3" Type="http://schemas.openxmlformats.org/officeDocument/2006/relationships/hyperlink" Target="http://www.pjm.com/" TargetMode="External"/><Relationship Id="rId4" Type="http://schemas.openxmlformats.org/officeDocument/2006/relationships/hyperlink" Target="http://www.psc.state.md.us/psc/" TargetMode="External"/><Relationship Id="rId5" Type="http://schemas.openxmlformats.org/officeDocument/2006/relationships/hyperlink" Target="mailto:Electric.Supplier.Relations@BGE.com" TargetMode="External"/><Relationship Id="rId6" Type="http://schemas.openxmlformats.org/officeDocument/2006/relationships/hyperlink" Target="http://supplier.bge.com/main/FormsAgreements/index.asp" TargetMode="External"/><Relationship Id="rId7" Type="http://schemas.openxmlformats.org/officeDocument/2006/relationships/hyperlink" Target="http://supplier.bge.com/main/" TargetMode="External"/><Relationship Id="rId8" Type="http://schemas.openxmlformats.org/officeDocument/2006/relationships/hyperlink" Target="mailto:Electric.Supplier.Relations@BGE.com"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2001-10-12T17:05:00Z</dcterms:created>
  <dc:creator>Nancy A. Hetrick</dc:creator>
  <dc:description/>
  <dc:language>en-CA</dc:language>
  <cp:lastModifiedBy>Michael Frazier</cp:lastModifiedBy>
  <cp:lastPrinted>2001-06-07T15:45:00Z</cp:lastPrinted>
  <dcterms:modified xsi:type="dcterms:W3CDTF">2001-10-12T17:05:00Z</dcterms:modified>
  <cp:revision>2</cp:revision>
  <dc:subject>Baltimore Gas &amp; Electric</dc:subject>
  <dc:title>Executive Market Summary</dc:title>
</cp:coreProperties>
</file>