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ind w:start="5040" w:end="0"/>
        <w:jc w:val="end"/>
        <w:rPr/>
      </w:pPr>
      <w:r>
        <w:object w:dxaOrig="2806" w:dyaOrig="288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6pt;margin-top:-7.2pt;width:84.2pt;height:86.4pt;mso-wrap-distance-left:9.05pt;mso-wrap-distance-right:9.05pt;mso-position-horizontal-relative:text;mso-position-vertical-relative:text" filled="f" o:ole="">
            <v:imagedata r:id="rId3" o:title=""/>
          </v:shape>
          <o:OLEObject Type="Embed" ProgID="" ShapeID="ole_rId2" DrawAspect="Content" ObjectID="_664534138" r:id="rId2"/>
        </w:object>
      </w:r>
      <w:r>
        <w:rPr>
          <w:rFonts w:eastAsia="Garamond" w:cs="Garamond" w:ascii="Garamond" w:hAnsi="Garamond"/>
          <w:emboss/>
          <w:color w:val="000080"/>
          <w:sz w:val="48"/>
        </w:rPr>
        <w:t xml:space="preserve">  </w:t>
      </w:r>
      <w:r>
        <w:rPr>
          <w:rFonts w:cs="Garamond" w:ascii="Garamond" w:hAnsi="Garamond"/>
          <w:color w:val="000080"/>
          <w:sz w:val="40"/>
        </w:rPr>
        <w:t>Enron Industrial Markets</w:t>
      </w:r>
    </w:p>
    <w:p>
      <w:pPr>
        <w:pStyle w:val="Subtitle"/>
        <w:ind w:start="5040" w:end="0"/>
        <w:jc w:val="end"/>
        <w:rPr>
          <w:rFonts w:ascii="Garamond" w:hAnsi="Garamond" w:cs="Garamond"/>
          <w:color w:val="000080"/>
          <w:sz w:val="40"/>
        </w:rPr>
      </w:pPr>
      <w:r>
        <w:rPr>
          <w:rFonts w:cs="Garamond" w:ascii="Garamond" w:hAnsi="Garamond"/>
          <w:color w:val="000080"/>
          <w:sz w:val="40"/>
        </w:rPr>
        <w:t xml:space="preserve">Competitive Analysis </w:t>
      </w:r>
    </w:p>
    <w:p>
      <w:pPr>
        <w:pStyle w:val="Subtitle"/>
        <w:ind w:start="5040" w:end="0"/>
        <w:jc w:val="end"/>
        <w:rPr>
          <w:rFonts w:ascii="Garamond" w:hAnsi="Garamond" w:cs="Garamond"/>
          <w:color w:val="000080"/>
          <w:sz w:val="40"/>
        </w:rPr>
      </w:pPr>
      <w:r>
        <w:rPr>
          <w:rFonts w:cs="Garamond" w:ascii="Garamond" w:hAnsi="Garamond"/>
          <w:color w:val="000080"/>
          <w:sz w:val="40"/>
        </w:rPr>
      </w:r>
    </w:p>
    <w:p>
      <w:pPr>
        <w:pStyle w:val="Heading"/>
        <w:pBdr>
          <w:bottom w:val="single" w:sz="8" w:space="1" w:color="000000"/>
        </w:pBdr>
        <w:rPr>
          <w:color w:val="000080"/>
        </w:rPr>
      </w:pPr>
      <w:r>
        <w:rPr>
          <w:color w:val="000080"/>
        </w:rPr>
        <w:t>The Alaghband Brothers</w:t>
      </w:r>
    </w:p>
    <w:p>
      <w:pPr>
        <w:pStyle w:val="Heading"/>
        <w:pBdr>
          <w:bottom w:val="single" w:sz="8" w:space="1" w:color="000000"/>
        </w:pBdr>
        <w:rPr>
          <w:color w:val="000080"/>
        </w:rPr>
      </w:pPr>
      <w:r>
        <w:rPr>
          <w:color w:val="000080"/>
        </w:rPr>
        <w:t>Balli Group plc</w:t>
      </w:r>
    </w:p>
    <w:p>
      <w:pPr>
        <w:pStyle w:val="Heading"/>
        <w:pBdr>
          <w:bottom w:val="single" w:sz="8" w:space="1" w:color="000000"/>
        </w:pBdr>
        <w:rPr>
          <w:color w:val="000080"/>
          <w:sz w:val="28"/>
        </w:rPr>
      </w:pPr>
      <w:r>
        <w:rPr>
          <w:color w:val="000080"/>
          <w:sz w:val="28"/>
        </w:rPr>
        <w:t>Update Report - April 2, 2001</w:t>
      </w:r>
    </w:p>
    <w:p>
      <w:pPr>
        <w:pStyle w:val="Heading"/>
        <w:pBdr>
          <w:bottom w:val="single" w:sz="8" w:space="1" w:color="000000"/>
        </w:pBdr>
        <w:rPr>
          <w:color w:val="000080"/>
          <w:sz w:val="28"/>
        </w:rPr>
      </w:pPr>
      <w:r>
        <w:rPr>
          <w:color w:val="000080"/>
          <w:sz w:val="28"/>
        </w:rPr>
      </w:r>
    </w:p>
    <w:p>
      <w:pPr>
        <w:pStyle w:val="Normal"/>
        <w:jc w:val="center"/>
        <w:rPr>
          <w:color w:val="000080"/>
          <w:sz w:val="28"/>
        </w:rPr>
      </w:pPr>
      <w:r>
        <w:rPr>
          <w:color w:val="000080"/>
          <w:sz w:val="28"/>
        </w:rPr>
      </w:r>
    </w:p>
    <w:p>
      <w:pPr>
        <w:pStyle w:val="Normal"/>
        <w:jc w:val="center"/>
        <w:rPr/>
      </w:pPr>
      <w:r>
        <w:rPr/>
      </w:r>
    </w:p>
    <w:p>
      <w:pPr>
        <w:pStyle w:val="BodyText"/>
        <w:rPr>
          <w:b/>
        </w:rPr>
      </w:pPr>
      <w:r>
        <w:rPr>
          <w:b/>
        </w:rPr>
        <w:t>Report by the US House of Representatives</w:t>
      </w:r>
    </w:p>
    <w:p>
      <w:pPr>
        <w:pStyle w:val="BodyText"/>
        <w:rPr>
          <w:b/>
        </w:rPr>
      </w:pPr>
      <w:r>
        <w:rPr>
          <w:b/>
        </w:rPr>
      </w:r>
    </w:p>
    <w:p>
      <w:pPr>
        <w:pStyle w:val="BodyText"/>
        <w:rPr>
          <w:b/>
        </w:rPr>
      </w:pPr>
      <w:r>
        <w:rPr/>
        <w:t xml:space="preserve">A March 1999 </w:t>
      </w:r>
      <w:r>
        <w:rPr>
          <w:i/>
          <w:iCs/>
        </w:rPr>
        <w:t>Der Spiegel</w:t>
      </w:r>
      <w:r>
        <w:rPr/>
        <w:t xml:space="preserve"> article reported that the Alaghband brothers were connected to terrorist activities in the US, drug trafficking and counterfeit bank notes, referencing a US House of Representatives report as the source of the information.  As reported earlier, the paper later issued an apology saying that the report did not exist and that the details it had published were false.  However, continued research reveals that the report does, in fact, exist.  </w:t>
      </w:r>
    </w:p>
    <w:p>
      <w:pPr>
        <w:pStyle w:val="BodyText"/>
        <w:rPr>
          <w:b/>
        </w:rPr>
      </w:pPr>
      <w:r>
        <w:rPr>
          <w:b/>
        </w:rPr>
      </w:r>
    </w:p>
    <w:p>
      <w:pPr>
        <w:pStyle w:val="BodyText"/>
        <w:rPr>
          <w:bCs/>
        </w:rPr>
      </w:pPr>
      <w:r>
        <w:rPr>
          <w:bCs/>
        </w:rPr>
        <w:t>Task Force on Terrorist &amp; Unconventional Warfare</w:t>
      </w:r>
    </w:p>
    <w:p>
      <w:pPr>
        <w:pStyle w:val="BodyText"/>
        <w:rPr>
          <w:bCs/>
        </w:rPr>
      </w:pPr>
      <w:r>
        <w:rPr>
          <w:bCs/>
        </w:rPr>
        <w:t>House Republican Research Committee</w:t>
      </w:r>
    </w:p>
    <w:p>
      <w:pPr>
        <w:pStyle w:val="BodyText"/>
        <w:rPr>
          <w:bCs/>
        </w:rPr>
      </w:pPr>
      <w:r>
        <w:rPr>
          <w:bCs/>
        </w:rPr>
        <w:t>“</w:t>
      </w:r>
      <w:r>
        <w:rPr>
          <w:bCs/>
        </w:rPr>
        <w:t>Update:  Iran, Syria and the Trail of the Counterfeit Money”</w:t>
      </w:r>
    </w:p>
    <w:p>
      <w:pPr>
        <w:pStyle w:val="BodyText"/>
        <w:rPr>
          <w:bCs/>
        </w:rPr>
      </w:pPr>
      <w:r>
        <w:rPr>
          <w:bCs/>
        </w:rPr>
        <w:t>July 13, 1994</w:t>
      </w:r>
    </w:p>
    <w:p>
      <w:pPr>
        <w:pStyle w:val="BodyText"/>
        <w:rPr>
          <w:bCs/>
        </w:rPr>
      </w:pPr>
      <w:r>
        <w:rPr>
          <w:bCs/>
        </w:rPr>
        <w:t>Youssef Bodansky and Vaughn S. Forrest</w:t>
      </w:r>
    </w:p>
    <w:p>
      <w:pPr>
        <w:pStyle w:val="BodyText"/>
        <w:rPr>
          <w:bCs/>
        </w:rPr>
      </w:pPr>
      <w:r>
        <w:rPr>
          <w:bCs/>
        </w:rPr>
      </w:r>
    </w:p>
    <w:p>
      <w:pPr>
        <w:pStyle w:val="BodyText"/>
        <w:rPr>
          <w:bCs/>
        </w:rPr>
      </w:pPr>
      <w:r>
        <w:rPr>
          <w:bCs/>
        </w:rPr>
        <w:t>Excerpted text:</w:t>
      </w:r>
    </w:p>
    <w:p>
      <w:pPr>
        <w:pStyle w:val="BodyText"/>
        <w:rPr>
          <w:bCs/>
          <w:sz w:val="22"/>
        </w:rPr>
      </w:pPr>
      <w:r>
        <w:rPr>
          <w:bCs/>
          <w:sz w:val="22"/>
        </w:rPr>
      </w:r>
    </w:p>
    <w:p>
      <w:pPr>
        <w:pStyle w:val="BodyText"/>
        <w:ind w:start="720" w:end="720"/>
        <w:rPr/>
      </w:pPr>
      <w:r>
        <w:rPr>
          <w:bCs/>
        </w:rPr>
        <w:t>This flow of drugs and counterfeit dollars [US$100 bills]</w:t>
      </w:r>
      <w:r>
        <w:rPr>
          <w:bCs/>
          <w:sz w:val="22"/>
        </w:rPr>
        <w:t xml:space="preserve"> also serves to sustain and finance the build-up of Islamist terrorist networks in Mexico as well as in the northern states of South America for operations in the US.  The core of this system of clandestine support for the terrorist networks is a complex of commercial companies operating in total isolation from Iran.</w:t>
      </w:r>
    </w:p>
    <w:p>
      <w:pPr>
        <w:pStyle w:val="BodyText"/>
        <w:ind w:start="720" w:end="720"/>
        <w:jc w:val="center"/>
        <w:rPr>
          <w:bCs/>
          <w:sz w:val="22"/>
        </w:rPr>
      </w:pPr>
      <w:r>
        <w:rPr>
          <w:bCs/>
          <w:sz w:val="22"/>
        </w:rPr>
      </w:r>
    </w:p>
    <w:p>
      <w:pPr>
        <w:pStyle w:val="BodyText"/>
        <w:ind w:start="720" w:end="720"/>
        <w:rPr>
          <w:bCs/>
          <w:sz w:val="22"/>
        </w:rPr>
      </w:pPr>
      <w:r>
        <w:rPr>
          <w:bCs/>
          <w:sz w:val="22"/>
        </w:rPr>
        <w:t xml:space="preserve">Of these, the most important is a web of companies that belongs to two Iranian brothers – Vahid Alaghband and Hassan Alaghband.  In early 1993, the two Alaghband brothers opened a branch of their company in Brazil in order to begin a new phase of support operations for an escalation of Iranian activities in the region.  This company is expected to provide clandestine logistical, financial and communications support for Islamist terrorist networks operating on the east coast of the hemisphere, primarily Argentina, Mexico, and the United States.  The company also provides commercial cover for the travel of terrorist and intelligence operatives from Iran and Syria who arrive in America in order to supervise the flow of counterfeit currency and drugs.  </w:t>
      </w:r>
    </w:p>
    <w:p>
      <w:pPr>
        <w:pStyle w:val="BodyText"/>
        <w:ind w:start="720" w:end="720"/>
        <w:rPr>
          <w:bCs/>
          <w:sz w:val="22"/>
        </w:rPr>
      </w:pPr>
      <w:r>
        <w:rPr>
          <w:bCs/>
          <w:sz w:val="22"/>
        </w:rPr>
      </w:r>
    </w:p>
    <w:p>
      <w:pPr>
        <w:pStyle w:val="Normal"/>
        <w:autoSpaceDE w:val="false"/>
        <w:spacing w:lineRule="atLeast" w:line="240"/>
        <w:rPr/>
      </w:pPr>
      <w:r>
        <w:rPr>
          <w:color w:val="000000"/>
          <w:sz w:val="24"/>
        </w:rPr>
        <w:t>According to our sources, Bodansky has a history of writing sensational/conspiratorial-type pieces that are hard to verify.  Source comment:  “</w:t>
      </w:r>
      <w:r>
        <w:rPr>
          <w:sz w:val="24"/>
        </w:rPr>
        <w:t xml:space="preserve">Around 1994, the Republicans in the House had a Task Force on Terrorism.  They issued a number of somewhat sensational reports primarily about Middle East terrorism.  The staff director of the Task Force was Yosef Bodansky, who has published widely on terrorism but always in a rather sensational vein.”  </w:t>
      </w:r>
    </w:p>
    <w:p>
      <w:pPr>
        <w:pStyle w:val="Normal"/>
        <w:autoSpaceDE w:val="false"/>
        <w:spacing w:lineRule="atLeast" w:line="240"/>
        <w:rPr>
          <w:sz w:val="22"/>
        </w:rPr>
      </w:pPr>
      <w:r>
        <w:rPr>
          <w:sz w:val="22"/>
        </w:rPr>
      </w:r>
      <w:r>
        <w:br w:type="page"/>
      </w:r>
    </w:p>
    <w:p>
      <w:pPr>
        <w:pStyle w:val="Normal"/>
        <w:autoSpaceDE w:val="false"/>
        <w:spacing w:lineRule="atLeast" w:line="240"/>
        <w:rPr>
          <w:b/>
          <w:sz w:val="24"/>
        </w:rPr>
      </w:pPr>
      <w:r>
        <w:rPr>
          <w:b/>
          <w:sz w:val="24"/>
        </w:rPr>
        <w:t>Source Comments</w:t>
      </w:r>
    </w:p>
    <w:p>
      <w:pPr>
        <w:pStyle w:val="Normal"/>
        <w:autoSpaceDE w:val="false"/>
        <w:spacing w:lineRule="atLeast" w:line="240"/>
        <w:rPr>
          <w:b/>
          <w:bCs/>
          <w:sz w:val="24"/>
        </w:rPr>
      </w:pPr>
      <w:r>
        <w:rPr>
          <w:b/>
          <w:bCs/>
          <w:sz w:val="24"/>
        </w:rPr>
      </w:r>
    </w:p>
    <w:p>
      <w:pPr>
        <w:pStyle w:val="BodyText2"/>
        <w:autoSpaceDE w:val="false"/>
        <w:spacing w:lineRule="atLeast" w:line="240"/>
        <w:rPr>
          <w:bCs/>
          <w:sz w:val="24"/>
        </w:rPr>
      </w:pPr>
      <w:r>
        <w:rPr>
          <w:bCs/>
          <w:sz w:val="24"/>
        </w:rPr>
        <w:t>This source is an Iranian businessman based in London, who is a close personal and professional contact of the Alaghband family.  Excerpts from the interview, with focus on previously unreported information, follow:</w:t>
      </w:r>
    </w:p>
    <w:p>
      <w:pPr>
        <w:pStyle w:val="Normal"/>
        <w:ind w:start="720" w:end="720"/>
        <w:rPr>
          <w:bCs/>
          <w:sz w:val="22"/>
        </w:rPr>
      </w:pPr>
      <w:r>
        <w:rPr>
          <w:bCs/>
          <w:sz w:val="22"/>
        </w:rPr>
      </w:r>
    </w:p>
    <w:p>
      <w:pPr>
        <w:pStyle w:val="BodyText2"/>
        <w:ind w:start="720" w:end="720"/>
        <w:rPr/>
      </w:pPr>
      <w:r>
        <w:rPr>
          <w:bCs/>
        </w:rPr>
        <w:t xml:space="preserve">Several times I have taken business opportunities to Vahid, who is Chairman of the Balli Trading Plc, and the brother I know best.  In these cases, I have found him to be </w:t>
      </w:r>
      <w:r>
        <w:rPr>
          <w:b/>
        </w:rPr>
        <w:t>receptive, able to perform, and honourable</w:t>
      </w:r>
      <w:r>
        <w:rPr>
          <w:bCs/>
        </w:rPr>
        <w:t xml:space="preserve">.   Vahid is the opposite of an opportunistic, jack-of-all trades businessman.  He is a </w:t>
      </w:r>
      <w:r>
        <w:rPr>
          <w:b/>
        </w:rPr>
        <w:t>low-key, serious, hard working, institution builder</w:t>
      </w:r>
      <w:r>
        <w:rPr>
          <w:bCs/>
        </w:rPr>
        <w:t xml:space="preserve">.   He and his brothers have built up their family business into a global, physical commodity-trading powerhouse.   </w:t>
      </w:r>
    </w:p>
    <w:p>
      <w:pPr>
        <w:pStyle w:val="Footer"/>
        <w:tabs>
          <w:tab w:val="clear" w:pos="4320"/>
          <w:tab w:val="clear" w:pos="8640"/>
        </w:tabs>
        <w:ind w:start="720" w:end="720"/>
        <w:rPr>
          <w:bCs/>
          <w:sz w:val="22"/>
          <w:lang w:val="en-GB"/>
        </w:rPr>
      </w:pPr>
      <w:r>
        <w:rPr>
          <w:bCs/>
          <w:sz w:val="22"/>
          <w:lang w:val="en-GB"/>
        </w:rPr>
      </w:r>
    </w:p>
    <w:p>
      <w:pPr>
        <w:pStyle w:val="Normal"/>
        <w:ind w:start="720" w:end="720"/>
        <w:rPr/>
      </w:pPr>
      <w:r>
        <w:rPr>
          <w:bCs/>
          <w:sz w:val="22"/>
        </w:rPr>
        <w:t xml:space="preserve">Unlike many expatriate Iranian businessmen who talk big and cannot deliver, the Alaghbands have invested in the infrastructure that is necessary for handling large and complex transactions: </w:t>
      </w:r>
      <w:r>
        <w:rPr>
          <w:b/>
          <w:sz w:val="22"/>
        </w:rPr>
        <w:t>Balli has in-house professional traders with product/market expertise, as well as shipping, insurance, and treasury/risk management departments, and lines of credit from some of Europe’s biggest banks</w:t>
      </w:r>
      <w:r>
        <w:rPr>
          <w:bCs/>
          <w:sz w:val="22"/>
        </w:rPr>
        <w:t xml:space="preserve">.  For these reasons Balli has the ability to make deals happen—it is strong on execution. </w:t>
      </w:r>
    </w:p>
    <w:p>
      <w:pPr>
        <w:pStyle w:val="Normal"/>
        <w:autoSpaceDE w:val="false"/>
        <w:spacing w:lineRule="atLeast" w:line="240"/>
        <w:ind w:start="720" w:end="720"/>
        <w:rPr>
          <w:bCs/>
          <w:sz w:val="22"/>
        </w:rPr>
      </w:pPr>
      <w:r>
        <w:rPr>
          <w:bCs/>
          <w:sz w:val="22"/>
        </w:rPr>
      </w:r>
    </w:p>
    <w:p>
      <w:pPr>
        <w:pStyle w:val="BodyText2"/>
        <w:autoSpaceDE w:val="false"/>
        <w:spacing w:lineRule="atLeast" w:line="240"/>
        <w:ind w:start="720" w:end="720"/>
        <w:rPr/>
      </w:pPr>
      <w:r>
        <w:rPr>
          <w:bCs/>
        </w:rPr>
        <w:t xml:space="preserve">Broadly speaking there are two types of Iranian businessmen.  Old-world and Post-revolutionary.  …  The Alaghband brothers have an exceptional capacity to move in both worlds.  They are Western educated, have Western business practices, yet are able to transact business on a vast scale with the Haj Aghas who are now in power.   The reason they have been able to make the transition from the old regime to the new are:  they have always </w:t>
      </w:r>
      <w:r>
        <w:rPr>
          <w:b/>
        </w:rPr>
        <w:t>been politically correct</w:t>
      </w:r>
      <w:r>
        <w:rPr>
          <w:bCs/>
        </w:rPr>
        <w:t xml:space="preserve">; they are strictly traders; as a family they were </w:t>
      </w:r>
      <w:r>
        <w:rPr>
          <w:b/>
        </w:rPr>
        <w:t>careful not</w:t>
      </w:r>
      <w:r>
        <w:rPr>
          <w:bCs/>
        </w:rPr>
        <w:t xml:space="preserve"> </w:t>
      </w:r>
      <w:r>
        <w:rPr>
          <w:b/>
        </w:rPr>
        <w:t>to associate too closely with the old regime</w:t>
      </w:r>
      <w:r>
        <w:rPr>
          <w:bCs/>
        </w:rPr>
        <w:t xml:space="preserve">; they are low-key; and somehow, early in the Revolution, they </w:t>
      </w:r>
      <w:r>
        <w:rPr>
          <w:b/>
        </w:rPr>
        <w:t>made strong connections with the new elite</w:t>
      </w:r>
      <w:r>
        <w:rPr>
          <w:bCs/>
        </w:rPr>
        <w:t>.</w:t>
      </w:r>
    </w:p>
    <w:p>
      <w:pPr>
        <w:pStyle w:val="Normal"/>
        <w:autoSpaceDE w:val="false"/>
        <w:spacing w:lineRule="atLeast" w:line="240"/>
        <w:ind w:start="720" w:end="720"/>
        <w:rPr>
          <w:bCs/>
          <w:sz w:val="22"/>
        </w:rPr>
      </w:pPr>
      <w:r>
        <w:rPr>
          <w:bCs/>
          <w:sz w:val="22"/>
        </w:rPr>
      </w:r>
    </w:p>
    <w:p>
      <w:pPr>
        <w:pStyle w:val="Normal"/>
        <w:ind w:start="720" w:end="720"/>
        <w:rPr>
          <w:bCs/>
          <w:sz w:val="22"/>
        </w:rPr>
      </w:pPr>
      <w:r>
        <w:rPr>
          <w:bCs/>
          <w:sz w:val="22"/>
        </w:rPr>
        <w:t xml:space="preserve">I have never heard the adjective ‘corrupt’ used in relation to the Alaghband brothers.  I know two of the companies that transport goods for them—an Iranian trucking company with branches in the Caucasus and Central Asia and a Greek commodities shipping company.  Both companies are proud to be associated with Balli Trading.  Having Balli as a client is an important reference for them. </w:t>
      </w:r>
    </w:p>
    <w:p>
      <w:pPr>
        <w:pStyle w:val="Normal"/>
        <w:autoSpaceDE w:val="false"/>
        <w:spacing w:lineRule="atLeast" w:line="240"/>
        <w:ind w:start="720" w:end="720"/>
        <w:rPr>
          <w:bCs/>
          <w:sz w:val="22"/>
        </w:rPr>
      </w:pPr>
      <w:r>
        <w:rPr>
          <w:bCs/>
          <w:sz w:val="22"/>
        </w:rPr>
      </w:r>
    </w:p>
    <w:p>
      <w:pPr>
        <w:pStyle w:val="Normal"/>
        <w:autoSpaceDE w:val="false"/>
        <w:spacing w:lineRule="atLeast" w:line="240"/>
        <w:ind w:start="720" w:end="720"/>
        <w:rPr/>
      </w:pPr>
      <w:r>
        <w:rPr>
          <w:bCs/>
          <w:sz w:val="22"/>
        </w:rPr>
        <w:t xml:space="preserve">The only negative business practice which I have heard of from one Balli insider is </w:t>
      </w:r>
      <w:r>
        <w:rPr>
          <w:b/>
          <w:sz w:val="22"/>
        </w:rPr>
        <w:t>Vahid’s capacity to sit on bills</w:t>
      </w:r>
      <w:r>
        <w:rPr>
          <w:bCs/>
          <w:sz w:val="22"/>
        </w:rPr>
        <w:t>.  [Name withheld], my stepfather’s brother, was an executive at Balli Trading Plc for the better part of a decade before leaving in the late ‘90s to pursue another opportunity.   At Balli Trading Plc, [name withheld], an MBA from a US business school, was a senior manager of trade and industrial activities as well as being a partner with Balli Trading in a joint venture in UK commercial property.    [Name withheld] left the organisation on good terms.  The only negative comment which I was able to extract from him was that Vahid (in his case) ‘sits on bills.’</w:t>
      </w:r>
    </w:p>
    <w:p>
      <w:pPr>
        <w:pStyle w:val="Normal"/>
        <w:autoSpaceDE w:val="false"/>
        <w:spacing w:lineRule="atLeast" w:line="240"/>
        <w:ind w:start="720" w:end="720"/>
        <w:rPr>
          <w:bCs/>
          <w:sz w:val="22"/>
        </w:rPr>
      </w:pPr>
      <w:r>
        <w:rPr>
          <w:bCs/>
          <w:sz w:val="22"/>
        </w:rPr>
      </w:r>
    </w:p>
    <w:p>
      <w:pPr>
        <w:pStyle w:val="Normal"/>
        <w:ind w:start="720" w:end="720"/>
        <w:rPr/>
      </w:pPr>
      <w:r>
        <w:rPr>
          <w:bCs/>
          <w:sz w:val="22"/>
        </w:rPr>
        <w:t xml:space="preserve">A few years ago, Balli Trading Plc entered into </w:t>
      </w:r>
      <w:r>
        <w:rPr>
          <w:b/>
          <w:sz w:val="22"/>
        </w:rPr>
        <w:t>a massive counter-trade transaction involving the FSU, Iran, and China</w:t>
      </w:r>
      <w:r>
        <w:rPr>
          <w:bCs/>
          <w:sz w:val="22"/>
        </w:rPr>
        <w:t>: Balli Trading Plc was to supply Iran with certain types of steel products sourced in the FSU.  In return, Iran was to provide Balli Trading Plc with other steel products which Balli Trading Plc entered into contract to sell to China.  Iran reportedly defaulted on its obligation and Balli Trading Plc took a major hit on the Chinese contracts.</w:t>
      </w:r>
    </w:p>
    <w:p>
      <w:pPr>
        <w:pStyle w:val="Normal"/>
        <w:autoSpaceDE w:val="false"/>
        <w:spacing w:lineRule="atLeast" w:line="240"/>
        <w:ind w:start="720" w:end="720"/>
        <w:rPr>
          <w:bCs/>
          <w:sz w:val="22"/>
        </w:rPr>
      </w:pPr>
      <w:r>
        <w:rPr>
          <w:bCs/>
          <w:sz w:val="22"/>
        </w:rPr>
      </w:r>
    </w:p>
    <w:p>
      <w:pPr>
        <w:pStyle w:val="Normal"/>
        <w:ind w:start="720" w:end="720"/>
        <w:rPr/>
      </w:pPr>
      <w:r>
        <w:rPr>
          <w:bCs/>
          <w:sz w:val="22"/>
        </w:rPr>
        <w:t xml:space="preserve">The Alaghbands are able to provide trade finance and invest in Iran for two reasons: first, their political connections give them a degree of protection.  And second, they know how to repackage and re-sell the Iranian risk.  Typically, </w:t>
      </w:r>
      <w:r>
        <w:rPr>
          <w:b/>
          <w:sz w:val="22"/>
        </w:rPr>
        <w:t>they repackage the risk and sell it on to Japanese trading houses</w:t>
      </w:r>
      <w:r>
        <w:rPr>
          <w:bCs/>
          <w:sz w:val="22"/>
        </w:rPr>
        <w:t>--who have oil products contracts--and French and Swiss Banks--who have Iranian funds on deposit—which they can use to offset the risk.  In short, the end buyers of the Iranian risk have other relationships with Iran in whose context the Iranian risk is manageable.</w:t>
      </w:r>
    </w:p>
    <w:p>
      <w:pPr>
        <w:pStyle w:val="Normal"/>
        <w:ind w:start="720" w:end="720"/>
        <w:rPr>
          <w:bCs/>
          <w:sz w:val="22"/>
        </w:rPr>
      </w:pPr>
      <w:r>
        <w:rPr>
          <w:bCs/>
          <w:sz w:val="22"/>
        </w:rPr>
      </w:r>
    </w:p>
    <w:p>
      <w:pPr>
        <w:pStyle w:val="BodyText2"/>
        <w:ind w:start="720" w:end="720"/>
        <w:rPr>
          <w:bCs/>
        </w:rPr>
      </w:pPr>
      <w:r>
        <w:rPr>
          <w:bCs/>
        </w:rPr>
        <w:t xml:space="preserve">In Iran’s revolutionary environment, the Alaghbands have found their political backers.  Two of the most important allies of the Alaghbands have been:  Mohsen Rafiqdust, the former head of the Bonyad Mostazafan (Foundation for the Oppressed and Disabled) and former President Hojjat-ol-Islam Hashemi Rafsanjani.   </w:t>
      </w:r>
    </w:p>
    <w:p>
      <w:pPr>
        <w:pStyle w:val="BodyText2"/>
        <w:ind w:start="720" w:end="720"/>
        <w:rPr>
          <w:bCs/>
        </w:rPr>
      </w:pPr>
      <w:r>
        <w:rPr>
          <w:bCs/>
        </w:rPr>
      </w:r>
    </w:p>
    <w:p>
      <w:pPr>
        <w:pStyle w:val="Heading1"/>
        <w:ind w:hanging="0" w:start="720" w:end="720"/>
        <w:jc w:val="start"/>
        <w:rPr>
          <w:b w:val="false"/>
          <w:bCs/>
          <w:sz w:val="22"/>
        </w:rPr>
      </w:pPr>
      <w:r>
        <w:rPr>
          <w:b w:val="false"/>
          <w:bCs/>
          <w:sz w:val="22"/>
        </w:rPr>
        <w:t>Some time after President Khatami came to power, Rafiqdust was forced to resign his post at the head of the Bonyad Mostazafan.  He continues, however, to be an advisor to the Ayatollah Khamenei, and an important behind-the-scene player.</w:t>
      </w:r>
    </w:p>
    <w:p>
      <w:pPr>
        <w:pStyle w:val="BodyText2"/>
        <w:ind w:start="720" w:end="720"/>
        <w:rPr>
          <w:b/>
          <w:bCs/>
          <w:sz w:val="22"/>
        </w:rPr>
      </w:pPr>
      <w:r>
        <w:rPr>
          <w:b/>
          <w:bCs/>
          <w:sz w:val="22"/>
        </w:rPr>
      </w:r>
    </w:p>
    <w:p>
      <w:pPr>
        <w:pStyle w:val="BodyText2"/>
        <w:ind w:start="720" w:end="720"/>
        <w:rPr>
          <w:bCs/>
        </w:rPr>
      </w:pPr>
      <w:r>
        <w:rPr>
          <w:bCs/>
        </w:rPr>
        <w:t xml:space="preserve">Because the Alaghbands have been willing through the ‘80s and 90’s to provide trade finance and invest in Iran, they have enjoyed the highest levels of access in a regime that is desperate for foreign investment.  I know that Vahid had direct access to President Rafsanjani during the latter’s term in office.   Two of Rafsanjani’s sons were very influential in the oil business at the time.  One held an official position in the Oil Ministry.  The other brokered crude oil contracts behind-the-scenes. </w:t>
      </w:r>
    </w:p>
    <w:p>
      <w:pPr>
        <w:pStyle w:val="BodyText2"/>
        <w:ind w:start="720" w:end="720"/>
        <w:rPr>
          <w:bCs/>
        </w:rPr>
      </w:pPr>
      <w:r>
        <w:rPr>
          <w:bCs/>
        </w:rPr>
      </w:r>
    </w:p>
    <w:p>
      <w:pPr>
        <w:pStyle w:val="BodyText2"/>
        <w:ind w:start="720" w:end="720"/>
        <w:rPr/>
      </w:pPr>
      <w:r>
        <w:rPr>
          <w:bCs/>
        </w:rPr>
        <w:t xml:space="preserve">Within the Ministry of Oil, Balli Trading Plc’s main strength has always been at National Iranian Petrochemical Company (NIPC).  </w:t>
      </w:r>
      <w:r>
        <w:rPr>
          <w:b/>
        </w:rPr>
        <w:t>Balli Trading Plc has been extremely active in trading petrochemical products with NIPC and in providing structured finance for this purpose</w:t>
      </w:r>
      <w:r>
        <w:rPr>
          <w:bCs/>
        </w:rPr>
        <w:t>.  This activity has been run by long-time, Balli Trading Plc, Partner, Hossein Adl.  Balli Trading is now attempting to broaden its activity within the Oil Ministry and win projects in other areas of NIOC (upstream, onshore and offshore oil field development projects).</w:t>
      </w:r>
    </w:p>
    <w:p>
      <w:pPr>
        <w:pStyle w:val="BodyText2"/>
        <w:ind w:start="720" w:end="720"/>
        <w:rPr>
          <w:bCs/>
        </w:rPr>
      </w:pPr>
      <w:r>
        <w:rPr>
          <w:bCs/>
        </w:rPr>
      </w:r>
    </w:p>
    <w:p>
      <w:pPr>
        <w:pStyle w:val="Normal"/>
        <w:ind w:start="720" w:end="720"/>
        <w:rPr>
          <w:bCs/>
          <w:sz w:val="22"/>
        </w:rPr>
      </w:pPr>
      <w:r>
        <w:rPr>
          <w:bCs/>
          <w:sz w:val="22"/>
        </w:rPr>
        <w:t xml:space="preserve">Over a year ago, Vahid hired a team of people from ARCO.  Perhaps he sees moving into oil as a natural progression for a diversified commodities trading firm.   </w:t>
      </w:r>
    </w:p>
    <w:sectPr>
      <w:footerReference w:type="default" r:id="rId4"/>
      <w:type w:val="nextPage"/>
      <w:pgSz w:w="12240" w:h="15840"/>
      <w:pgMar w:left="1440" w:right="1440" w:gutter="0" w:header="0" w:top="1008" w:footer="432"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color w:val="FF0000"/>
      </w:rPr>
      <w:t>Confidential</w:t>
    </w:r>
    <w:r>
      <w:rPr/>
      <w:t xml:space="preserve">                                                                                                                                                            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pPr>
    <w:r>
      <w:rPr/>
      <w:t>Kimberly Landry – 713-345-3587</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32"/>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outlineLvl w:val="3"/>
    </w:pPr>
    <w:rPr>
      <w:b/>
      <w:sz w:val="24"/>
      <w:u w:val="single"/>
    </w:rPr>
  </w:style>
  <w:style w:type="paragraph" w:styleId="Heading5">
    <w:name w:val="heading 5"/>
    <w:basedOn w:val="Normal"/>
    <w:next w:val="Normal"/>
    <w:qFormat/>
    <w:pPr>
      <w:keepNext w:val="true"/>
      <w:numPr>
        <w:ilvl w:val="4"/>
        <w:numId w:val="1"/>
      </w:numPr>
      <w:ind w:hanging="0" w:start="720" w:end="0"/>
      <w:outlineLvl w:val="4"/>
    </w:pPr>
    <w:rPr>
      <w:sz w:val="24"/>
    </w:rPr>
  </w:style>
  <w:style w:type="paragraph" w:styleId="Heading6">
    <w:name w:val="heading 6"/>
    <w:basedOn w:val="Normal"/>
    <w:next w:val="Normal"/>
    <w:qFormat/>
    <w:pPr>
      <w:keepNext w:val="true"/>
      <w:numPr>
        <w:ilvl w:val="5"/>
        <w:numId w:val="1"/>
      </w:numPr>
      <w:ind w:hanging="0" w:start="360" w:end="0"/>
      <w:outlineLvl w:val="5"/>
    </w:pPr>
    <w:rPr>
      <w:b/>
      <w:i/>
      <w:sz w:val="24"/>
    </w:rPr>
  </w:style>
  <w:style w:type="paragraph" w:styleId="Heading7">
    <w:name w:val="heading 7"/>
    <w:basedOn w:val="Normal"/>
    <w:next w:val="Normal"/>
    <w:qFormat/>
    <w:pPr>
      <w:keepNext w:val="true"/>
      <w:numPr>
        <w:ilvl w:val="6"/>
        <w:numId w:val="1"/>
      </w:numPr>
      <w:ind w:hanging="0" w:start="360" w:end="0"/>
      <w:outlineLvl w:val="6"/>
    </w:pPr>
    <w:rPr>
      <w:sz w:val="24"/>
      <w:u w:val="single"/>
    </w:rPr>
  </w:style>
  <w:style w:type="paragraph" w:styleId="Heading8">
    <w:name w:val="heading 8"/>
    <w:basedOn w:val="Normal"/>
    <w:next w:val="Normal"/>
    <w:qFormat/>
    <w:pPr>
      <w:keepNext w:val="true"/>
      <w:numPr>
        <w:ilvl w:val="7"/>
        <w:numId w:val="1"/>
      </w:numPr>
      <w:ind w:hanging="0" w:start="720" w:end="0"/>
      <w:outlineLvl w:val="7"/>
    </w:pPr>
    <w:rPr>
      <w:i/>
      <w:sz w:val="24"/>
    </w:rPr>
  </w:style>
  <w:style w:type="paragraph" w:styleId="Heading9">
    <w:name w:val="heading 9"/>
    <w:basedOn w:val="Normal"/>
    <w:next w:val="Normal"/>
    <w:qFormat/>
    <w:pPr>
      <w:keepNext w:val="true"/>
      <w:numPr>
        <w:ilvl w:val="8"/>
        <w:numId w:val="1"/>
      </w:numPr>
      <w:ind w:hanging="0" w:start="2880" w:end="0"/>
      <w:outlineLvl w:val="8"/>
    </w:pPr>
    <w:rPr>
      <w:rFonts w:ascii="Garamond" w:hAnsi="Garamond" w:cs="Garamond"/>
      <w:sz w:val="24"/>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WW8Num5z0">
    <w:name w:val="WW8Num5z0"/>
    <w:qFormat/>
    <w:rPr>
      <w:rFonts w:ascii="Wingdings" w:hAnsi="Wingdings" w:cs="Wingdings"/>
      <w:sz w:val="16"/>
    </w:rPr>
  </w:style>
  <w:style w:type="character" w:styleId="WW8Num6z0">
    <w:name w:val="WW8Num6z0"/>
    <w:qFormat/>
    <w:rPr>
      <w:rFonts w:ascii="Symbol" w:hAnsi="Symbol" w:cs="Symbol"/>
    </w:rPr>
  </w:style>
  <w:style w:type="character" w:styleId="WW8Num7z0">
    <w:name w:val="WW8Num7z0"/>
    <w:qFormat/>
    <w:rPr>
      <w:rFonts w:ascii="Wingdings" w:hAnsi="Wingdings" w:cs="Wingdings"/>
      <w:sz w:val="16"/>
    </w:rPr>
  </w:style>
  <w:style w:type="character" w:styleId="WW8Num8z0">
    <w:name w:val="WW8Num8z0"/>
    <w:qFormat/>
    <w:rPr/>
  </w:style>
  <w:style w:type="character" w:styleId="WW8Num9z0">
    <w:name w:val="WW8Num9z0"/>
    <w:qFormat/>
    <w:rPr>
      <w:rFonts w:ascii="Symbol" w:hAnsi="Symbol" w:cs="Symbol"/>
      <w:color w:val="auto"/>
      <w:sz w:val="28"/>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Symbol" w:hAnsi="Symbol" w:cs="Symbol"/>
      <w:color w:val="000000"/>
      <w:sz w:val="16"/>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color w:val="000000"/>
      <w:sz w:val="16"/>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Wingdings" w:hAnsi="Wingdings" w:cs="Wingdings"/>
      <w:sz w:val="16"/>
    </w:rPr>
  </w:style>
  <w:style w:type="character" w:styleId="WW8Num23z0">
    <w:name w:val="WW8Num23z0"/>
    <w:qFormat/>
    <w:rPr>
      <w:rFonts w:ascii="Symbol" w:hAnsi="Symbol" w:cs="Symbol"/>
      <w:color w:val="auto"/>
      <w:sz w:val="28"/>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Wingdings" w:hAnsi="Wingdings" w:cs="Wingdings"/>
      <w:sz w:val="16"/>
    </w:rPr>
  </w:style>
  <w:style w:type="character" w:styleId="WW8Num34z0">
    <w:name w:val="WW8Num34z0"/>
    <w:qFormat/>
    <w:rPr>
      <w:rFonts w:ascii="Wingdings" w:hAnsi="Wingdings" w:cs="Wingdings"/>
      <w:sz w:val="16"/>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rFonts w:ascii="Symbol" w:hAnsi="Symbol" w:cs="Symbol"/>
    </w:rPr>
  </w:style>
  <w:style w:type="character" w:styleId="WW8Num44z0">
    <w:name w:val="WW8Num44z0"/>
    <w:qFormat/>
    <w:rPr/>
  </w:style>
  <w:style w:type="character" w:styleId="WW8Num45z0">
    <w:name w:val="WW8Num45z0"/>
    <w:qFormat/>
    <w:rPr>
      <w:rFonts w:ascii="Symbol" w:hAnsi="Symbol" w:cs="Symbol"/>
    </w:rPr>
  </w:style>
  <w:style w:type="character" w:styleId="WW8Num46z0">
    <w:name w:val="WW8Num46z0"/>
    <w:qFormat/>
    <w:rPr>
      <w:rFonts w:ascii="Wingdings" w:hAnsi="Wingdings" w:cs="Wingdings"/>
      <w:sz w:val="16"/>
    </w:rPr>
  </w:style>
  <w:style w:type="character" w:styleId="WW8Num47z0">
    <w:name w:val="WW8Num47z0"/>
    <w:qFormat/>
    <w:rPr>
      <w:rFonts w:ascii="Wingdings" w:hAnsi="Wingdings" w:cs="Wingdings"/>
      <w:sz w:val="16"/>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style>
  <w:style w:type="character" w:styleId="WW8Num51z0">
    <w:name w:val="WW8Num51z0"/>
    <w:qFormat/>
    <w:rPr>
      <w:rFonts w:ascii="Symbol" w:hAnsi="Symbol" w:cs="Symbol"/>
    </w:rPr>
  </w:style>
  <w:style w:type="character" w:styleId="WW8Num52z0">
    <w:name w:val="WW8Num52z0"/>
    <w:qFormat/>
    <w:rPr/>
  </w:style>
  <w:style w:type="character" w:styleId="WW8Num53z0">
    <w:name w:val="WW8Num53z0"/>
    <w:qFormat/>
    <w:rPr>
      <w:rFonts w:ascii="Symbol" w:hAnsi="Symbol" w:cs="Symbol"/>
    </w:rPr>
  </w:style>
  <w:style w:type="character" w:styleId="WW8Num54z0">
    <w:name w:val="WW8Num54z0"/>
    <w:qFormat/>
    <w:rPr>
      <w:rFonts w:ascii="Symbol" w:hAnsi="Symbol" w:cs="Symbol"/>
      <w:color w:val="auto"/>
      <w:sz w:val="28"/>
    </w:rPr>
  </w:style>
  <w:style w:type="character" w:styleId="WW8Num55z0">
    <w:name w:val="WW8Num55z0"/>
    <w:qFormat/>
    <w:rPr>
      <w:rFonts w:ascii="Symbol" w:hAnsi="Symbol" w:cs="Symbol"/>
      <w:color w:val="auto"/>
      <w:sz w:val="28"/>
    </w:rPr>
  </w:style>
  <w:style w:type="character" w:styleId="WW8Num56z0">
    <w:name w:val="WW8Num56z0"/>
    <w:qFormat/>
    <w:rPr>
      <w:rFonts w:ascii="Symbol" w:hAnsi="Symbol" w:cs="Symbol"/>
    </w:rPr>
  </w:style>
  <w:style w:type="character" w:styleId="WW8Num57z0">
    <w:name w:val="WW8Num57z0"/>
    <w:qFormat/>
    <w:rPr>
      <w:rFonts w:ascii="Wingdings" w:hAnsi="Wingdings" w:cs="Wingdings"/>
      <w:sz w:val="16"/>
    </w:rPr>
  </w:style>
  <w:style w:type="character" w:styleId="WW8Num58z0">
    <w:name w:val="WW8Num58z0"/>
    <w:qFormat/>
    <w:rPr/>
  </w:style>
  <w:style w:type="character" w:styleId="WW8Num59z0">
    <w:name w:val="WW8Num59z0"/>
    <w:qFormat/>
    <w:rPr>
      <w:rFonts w:ascii="Symbol" w:hAnsi="Symbol" w:cs="Symbol"/>
    </w:rPr>
  </w:style>
  <w:style w:type="character" w:styleId="WW8Num60z0">
    <w:name w:val="WW8Num60z0"/>
    <w:qFormat/>
    <w:rPr>
      <w:rFonts w:ascii="Symbol" w:hAnsi="Symbol" w:cs="Symbol"/>
      <w:color w:val="auto"/>
      <w:sz w:val="28"/>
    </w:rPr>
  </w:style>
  <w:style w:type="character" w:styleId="WW8Num61z0">
    <w:name w:val="WW8Num61z0"/>
    <w:qFormat/>
    <w:rPr/>
  </w:style>
  <w:style w:type="character" w:styleId="WW8Num62z0">
    <w:name w:val="WW8Num62z0"/>
    <w:qFormat/>
    <w:rPr>
      <w:b/>
      <w:i/>
    </w:rPr>
  </w:style>
  <w:style w:type="character" w:styleId="WW8Num63z0">
    <w:name w:val="WW8Num63z0"/>
    <w:qFormat/>
    <w:rPr>
      <w:rFonts w:ascii="Symbol" w:hAnsi="Symbol" w:cs="Symbol"/>
    </w:rPr>
  </w:style>
  <w:style w:type="character" w:styleId="WW8Num64z0">
    <w:name w:val="WW8Num64z0"/>
    <w:qFormat/>
    <w:rPr>
      <w:rFonts w:ascii="Symbol" w:hAnsi="Symbol" w:cs="Symbol"/>
      <w:color w:val="000000"/>
      <w:sz w:val="16"/>
    </w:rPr>
  </w:style>
  <w:style w:type="character" w:styleId="WW8Num64z1">
    <w:name w:val="WW8Num64z1"/>
    <w:qFormat/>
    <w:rPr>
      <w:rFonts w:ascii="Courier New" w:hAnsi="Courier New" w:cs="Courier New"/>
    </w:rPr>
  </w:style>
  <w:style w:type="character" w:styleId="WW8Num64z2">
    <w:name w:val="WW8Num64z2"/>
    <w:qFormat/>
    <w:rPr>
      <w:rFonts w:ascii="Wingdings" w:hAnsi="Wingdings" w:cs="Wingdings"/>
    </w:rPr>
  </w:style>
  <w:style w:type="character" w:styleId="WW8Num64z3">
    <w:name w:val="WW8Num64z3"/>
    <w:qFormat/>
    <w:rPr>
      <w:rFonts w:ascii="Symbol" w:hAnsi="Symbol" w:cs="Symbol"/>
    </w:rPr>
  </w:style>
  <w:style w:type="character" w:styleId="WW8Num65z0">
    <w:name w:val="WW8Num65z0"/>
    <w:qFormat/>
    <w:rPr>
      <w:rFonts w:ascii="Symbol" w:hAnsi="Symbol" w:cs="Symbol"/>
      <w:color w:val="auto"/>
      <w:sz w:val="28"/>
    </w:rPr>
  </w:style>
  <w:style w:type="character" w:styleId="WW8Num66z0">
    <w:name w:val="WW8Num66z0"/>
    <w:qFormat/>
    <w:rPr>
      <w:rFonts w:ascii="Wingdings" w:hAnsi="Wingdings" w:cs="Wingdings"/>
      <w:color w:val="000000"/>
      <w:sz w:val="16"/>
    </w:rPr>
  </w:style>
  <w:style w:type="character" w:styleId="WW8Num67z0">
    <w:name w:val="WW8Num67z0"/>
    <w:qFormat/>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style>
  <w:style w:type="character" w:styleId="WW8Num72z0">
    <w:name w:val="WW8Num72z0"/>
    <w:qFormat/>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Wingdings" w:hAnsi="Wingdings" w:cs="Wingdings"/>
      <w:sz w:val="16"/>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rFonts w:ascii="Symbol" w:hAnsi="Symbol" w:cs="Symbol"/>
    </w:rPr>
  </w:style>
  <w:style w:type="character" w:styleId="WW8Num81z0">
    <w:name w:val="WW8Num81z0"/>
    <w:qFormat/>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Wingdings" w:hAnsi="Wingdings" w:cs="Wingdings"/>
      <w:sz w:val="16"/>
    </w:rPr>
  </w:style>
  <w:style w:type="character" w:styleId="WW8Num85z0">
    <w:name w:val="WW8Num85z0"/>
    <w:qFormat/>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style>
  <w:style w:type="character" w:styleId="WW8Num94z0">
    <w:name w:val="WW8Num94z0"/>
    <w:qFormat/>
    <w:rPr/>
  </w:style>
  <w:style w:type="character" w:styleId="WW8Num95z0">
    <w:name w:val="WW8Num95z0"/>
    <w:qFormat/>
    <w:rPr>
      <w:rFonts w:ascii="Wingdings" w:hAnsi="Wingdings" w:cs="Wingdings"/>
      <w:sz w:val="16"/>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rFonts w:ascii="Symbol" w:hAnsi="Symbol" w:cs="Symbol"/>
    </w:rPr>
  </w:style>
  <w:style w:type="character" w:styleId="WW8Num100z0">
    <w:name w:val="WW8Num100z0"/>
    <w:qFormat/>
    <w:rPr/>
  </w:style>
  <w:style w:type="character" w:styleId="WW8Num101z0">
    <w:name w:val="WW8Num10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b/>
      <w:sz w:val="36"/>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32"/>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numPr>
        <w:ilvl w:val="0"/>
        <w:numId w:val="0"/>
      </w:numPr>
      <w:tabs>
        <w:tab w:val="left" w:pos="720" w:leader="none"/>
        <w:tab w:val="left" w:pos="2160" w:leader="none"/>
        <w:tab w:val="left" w:pos="3870" w:leader="none"/>
        <w:tab w:val="right" w:pos="8100" w:leader="none"/>
        <w:tab w:val="right" w:pos="8370" w:leader="none"/>
      </w:tabs>
      <w:ind w:hanging="360" w:start="360" w:end="0"/>
    </w:pPr>
    <w:rPr>
      <w:sz w:val="24"/>
    </w:rPr>
  </w:style>
  <w:style w:type="paragraph" w:styleId="BodyTextIndent2">
    <w:name w:val="Body Text Indent 2"/>
    <w:basedOn w:val="Normal"/>
    <w:qFormat/>
    <w:pPr>
      <w:ind w:hanging="0" w:start="360" w:end="0"/>
    </w:pPr>
    <w:rPr>
      <w:sz w:val="24"/>
    </w:rPr>
  </w:style>
  <w:style w:type="paragraph" w:styleId="BodyTextIndent3">
    <w:name w:val="Body Text Indent 3"/>
    <w:basedOn w:val="Normal"/>
    <w:qFormat/>
    <w:pPr>
      <w:ind w:hanging="0" w:start="720" w:end="0"/>
    </w:pPr>
    <w:rPr>
      <w:sz w:val="24"/>
    </w:rPr>
  </w:style>
  <w:style w:type="paragraph" w:styleId="BodyText2">
    <w:name w:val="Body Text 2"/>
    <w:basedOn w:val="Normal"/>
    <w:qFormat/>
    <w:pPr/>
    <w:rPr>
      <w:sz w:val="22"/>
    </w:rPr>
  </w:style>
  <w:style w:type="paragraph" w:styleId="BodyText3">
    <w:name w:val="Body Text 3"/>
    <w:basedOn w:val="Normal"/>
    <w:qFormat/>
    <w:pPr>
      <w:spacing w:lineRule="atLeast" w:line="240"/>
    </w:pPr>
    <w:rPr>
      <w:color w:val="000000"/>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rFonts w:ascii="Arial" w:hAnsi="Arial" w:eastAsia="Arial Unicode MS" w:cs="Arial"/>
      <w:sz w:val="18"/>
      <w:szCs w:val="18"/>
    </w:rPr>
  </w:style>
  <w:style w:type="paragraph" w:styleId="FootnoteText">
    <w:name w:val="footnote text"/>
    <w:basedOn w:val="Normal"/>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CAG_Strategy</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2001-04-02T17:51:00Z</dcterms:created>
  <dc:creator>Marissa C. Mariner</dc:creator>
  <dc:description/>
  <dc:language>en-CA</dc:language>
  <cp:lastModifiedBy>klandry</cp:lastModifiedBy>
  <cp:lastPrinted>2001-03-28T10:33:00Z</cp:lastPrinted>
  <dcterms:modified xsi:type="dcterms:W3CDTF">2001-04-02T17:51:00Z</dcterms:modified>
  <cp:revision>2</cp:revision>
  <dc:subject/>
  <dc:title>Duke Energy</dc:title>
</cp:coreProperties>
</file>