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Pluto / MEGS, LLC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</w:rPr>
        <w:t>Description:</w:t>
        <w:tab/>
        <w:t xml:space="preserve">Pluto is a flow line that ties into the Marathon platform. MEGS, LLC receives revenue from Mariner and Burlington from Pluto production.  </w:t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/>
        <w:t xml:space="preserve">Status:  </w:t>
        <w:tab/>
        <w:t>Receiving accrual earnings against the debt service under a Minimum Revenue Contract associated with production from flow line.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Origination:  </w:t>
        <w:tab/>
        <w:t xml:space="preserve">ENA </w:t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Strategy:  </w:t>
        <w:tab/>
        <w:t>Sell our interest in Pluto to Mariner or sell down the Minimum Revenue Contract associated with the debt service.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rPr/>
      </w:pPr>
      <w:r>
        <w:rPr/>
        <w:t xml:space="preserve">Rationale:  </w:t>
        <w:tab/>
        <w:t>Low return on capital with limited growth upside.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Valuation:  </w:t>
        <w:tab/>
        <w:tab/>
        <w:t>$ 22 MM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rPr>
          <w:rFonts w:cs="Times New Roman"/>
        </w:rPr>
      </w:pPr>
      <w:r>
        <w:rPr>
          <w:rFonts w:cs="Times New Roman"/>
        </w:rPr>
        <w:t xml:space="preserve">Potential Loss: </w:t>
        <w:tab/>
        <w:t>$ 9.6 (Assuming sell down in 2002 with a capital charge of 8.5%)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rPr/>
      </w:pPr>
      <w:r>
        <w:rPr/>
        <w:t xml:space="preserve">Treatment:  </w:t>
        <w:tab/>
        <w:t>Balance Sheet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Capital Charges:</w:t>
        <w:tab/>
        <w:t>Upstream Products</w:t>
      </w:r>
    </w:p>
    <w:p>
      <w:pPr>
        <w:pStyle w:val="BodyTextIndent"/>
        <w:ind w:hanging="0" w:start="0" w:end="0"/>
        <w:rPr/>
      </w:pPr>
      <w:r>
        <w:rPr/>
      </w:r>
      <w:r>
        <w:br w:type="page"/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Crescendo Energy, LLC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2160" w:start="2160" w:end="0"/>
        <w:rPr>
          <w:rFonts w:ascii="Arial" w:hAnsi="Arial" w:cs="Arial"/>
        </w:rPr>
      </w:pPr>
      <w:r>
        <w:rPr>
          <w:rFonts w:cs="Arial" w:ascii="Arial" w:hAnsi="Arial"/>
        </w:rPr>
        <w:t>Description:</w:t>
        <w:tab/>
        <w:t>Enron has about an eighty five percent interest in Crescendo Energy, which consists of reserves from Dakota and Entrada, which are located in Colorado and Utah.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/>
        <w:t xml:space="preserve">Status:  </w:t>
        <w:tab/>
        <w:t>The capital needs for Crescendo Energy are being spilt between ENA Upstream Products (35%) and ECR (65%).  ENA has started construction of a nitrogen rejection unit with capacity of 24,000 MCF/day to develop reserves.  Expected start date is December 2001.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Origination:  </w:t>
        <w:tab/>
        <w:t xml:space="preserve">ENA </w:t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Strategy:  </w:t>
        <w:tab/>
        <w:t>Develop the reserves and sell our interest to a viable third party.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rPr/>
      </w:pPr>
      <w:r>
        <w:rPr/>
        <w:t xml:space="preserve">Rationale:  </w:t>
        <w:tab/>
        <w:t>Non-strategic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Valuation:  </w:t>
        <w:tab/>
        <w:tab/>
        <w:t xml:space="preserve">$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rPr>
          <w:rFonts w:cs="Times New Roman"/>
        </w:rPr>
      </w:pPr>
      <w:r>
        <w:rPr>
          <w:rFonts w:cs="Times New Roman"/>
        </w:rPr>
        <w:t xml:space="preserve">Loss: </w:t>
        <w:tab/>
        <w:t>None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rPr/>
      </w:pPr>
      <w:r>
        <w:rPr/>
        <w:t xml:space="preserve">Treatment:  </w:t>
        <w:tab/>
        <w:t>Balance Sheet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Capital Charges:</w:t>
        <w:tab/>
        <w:t>ECR / Upstream Products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footerReference w:type="default" r:id="rId2"/>
      <w:type w:val="nextPage"/>
      <w:pgSz w:w="12240" w:h="15840"/>
      <w:pgMar w:left="1728" w:right="1728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6.6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2160" w:start="2160" w:end="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hanging="2160" w:start="2160" w:end="0"/>
    </w:pPr>
    <w:rPr>
      <w:rFonts w:ascii="Arial" w:hAnsi="Arial" w:cs="Arial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2001-04-16T11:24:00Z</dcterms:created>
  <dc:creator>rlydeck</dc:creator>
  <dc:description/>
  <dc:language>en-CA</dc:language>
  <cp:lastModifiedBy>jmrha</cp:lastModifiedBy>
  <cp:lastPrinted>2001-04-14T13:42:00Z</cp:lastPrinted>
  <dcterms:modified xsi:type="dcterms:W3CDTF">2001-04-16T11:39:00Z</dcterms:modified>
  <cp:revision>4</cp:revision>
  <dc:subject/>
  <dc:title>Special Assets Portfolio as of March 30, 2001</dc:title>
</cp:coreProperties>
</file>