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nil"/>
        </w:pBdr>
        <w:ind w:hanging="0" w:start="0"/>
        <w:rPr/>
      </w:pPr>
      <w:r>
        <w:rPr/>
      </w:r>
    </w:p>
    <w:p>
      <w:pPr>
        <w:pStyle w:val="Heading1"/>
        <w:pBdr>
          <w:bottom w:val="nil"/>
        </w:pBdr>
        <w:ind w:hanging="0" w:start="0"/>
        <w:rPr/>
      </w:pPr>
      <w:r>
        <w:rPr/>
        <w:t xml:space="preserve">DALE M. BAILEY </w:t>
      </w:r>
    </w:p>
    <w:p>
      <w:pPr>
        <w:pStyle w:val="Normal"/>
        <w:pBdr>
          <w:bottom w:val="single" w:sz="6" w:space="1" w:color="000000"/>
        </w:pBdr>
        <w:rPr>
          <w:sz w:val="28"/>
          <w:szCs w:val="28"/>
        </w:rPr>
      </w:pPr>
      <w:r>
        <w:rPr>
          <w:b/>
          <w:bCs/>
          <w:sz w:val="22"/>
          <w:szCs w:val="22"/>
        </w:rPr>
        <w:t>2349 South Santa Fe Avenue, Studio D, Los Angeles, Ca 90058   (213) 244-2517</w:t>
      </w:r>
    </w:p>
    <w:p>
      <w:pPr>
        <w:pStyle w:val="Normal"/>
        <w:rPr>
          <w:sz w:val="28"/>
          <w:szCs w:val="28"/>
        </w:rPr>
      </w:pPr>
      <w:r>
        <w:rPr>
          <w:sz w:val="28"/>
          <w:szCs w:val="28"/>
        </w:rPr>
      </w:r>
    </w:p>
    <w:p>
      <w:pPr>
        <w:pStyle w:val="Normal"/>
        <w:rPr>
          <w:sz w:val="28"/>
          <w:szCs w:val="28"/>
        </w:rPr>
      </w:pPr>
      <w:r>
        <w:rPr>
          <w:sz w:val="28"/>
          <w:szCs w:val="28"/>
        </w:rPr>
      </w:r>
    </w:p>
    <w:p>
      <w:pPr>
        <w:pStyle w:val="BodyText"/>
        <w:ind w:hanging="2160" w:start="2160" w:end="0"/>
        <w:jc w:val="both"/>
        <w:rPr/>
      </w:pPr>
      <w:r>
        <w:rPr>
          <w:b/>
          <w:bCs/>
        </w:rPr>
        <w:t>OVERVIEW</w:t>
      </w:r>
      <w:r>
        <w:rPr/>
        <w:t xml:space="preserve"> </w:t>
        <w:tab/>
        <w:t>Senior financial manager and analyst, experienced in statistical, financial and quantitative analysis, cash management and forecasting.  Expert knowledge of state and federal regulatory issues and processes.  Inter-disciplinary team leader with a proven track record in building key stakeholder relationships.  Outstanding oral and written presentation skills.  Master of Science in Taxation.</w:t>
      </w:r>
    </w:p>
    <w:p>
      <w:pPr>
        <w:pStyle w:val="Normal"/>
        <w:rPr>
          <w:b/>
          <w:bCs/>
          <w:sz w:val="22"/>
          <w:szCs w:val="22"/>
        </w:rPr>
      </w:pPr>
      <w:r>
        <w:rPr>
          <w:b/>
          <w:bCs/>
          <w:sz w:val="22"/>
          <w:szCs w:val="22"/>
        </w:rPr>
      </w:r>
    </w:p>
    <w:p>
      <w:pPr>
        <w:pStyle w:val="Heading2"/>
        <w:ind w:hanging="0" w:start="0"/>
        <w:rPr/>
      </w:pPr>
      <w:r>
        <w:rPr/>
        <w:t>EXPERIENCE</w:t>
      </w:r>
    </w:p>
    <w:p>
      <w:pPr>
        <w:pStyle w:val="Normal"/>
        <w:rPr>
          <w:sz w:val="22"/>
          <w:szCs w:val="22"/>
        </w:rPr>
      </w:pPr>
      <w:r>
        <w:rPr>
          <w:sz w:val="22"/>
          <w:szCs w:val="22"/>
        </w:rPr>
      </w:r>
    </w:p>
    <w:p>
      <w:pPr>
        <w:pStyle w:val="Normal"/>
        <w:rPr>
          <w:sz w:val="22"/>
          <w:szCs w:val="22"/>
        </w:rPr>
      </w:pPr>
      <w:r>
        <w:rPr>
          <w:sz w:val="22"/>
          <w:szCs w:val="22"/>
        </w:rPr>
        <w:t>Regulatory Litigation Management:</w:t>
      </w:r>
    </w:p>
    <w:p>
      <w:pPr>
        <w:pStyle w:val="Normal"/>
        <w:rPr>
          <w:sz w:val="22"/>
          <w:szCs w:val="22"/>
        </w:rPr>
      </w:pPr>
      <w:r>
        <w:rPr>
          <w:sz w:val="22"/>
          <w:szCs w:val="22"/>
        </w:rPr>
      </w:r>
    </w:p>
    <w:p>
      <w:pPr>
        <w:pStyle w:val="Normal"/>
        <w:numPr>
          <w:ilvl w:val="0"/>
          <w:numId w:val="2"/>
        </w:numPr>
        <w:tabs>
          <w:tab w:val="clear" w:pos="720"/>
          <w:tab w:val="left" w:pos="0" w:leader="none"/>
        </w:tabs>
        <w:ind w:hanging="720" w:start="1440" w:end="0"/>
        <w:jc w:val="both"/>
        <w:rPr>
          <w:sz w:val="22"/>
          <w:szCs w:val="22"/>
        </w:rPr>
      </w:pPr>
      <w:r>
        <w:rPr>
          <w:sz w:val="22"/>
          <w:szCs w:val="22"/>
        </w:rPr>
        <w:t>Organized and managed multi-functional teams for regulatory proceedings before the California Public Utilities Commission (CPUC).  Directed development of regulatory strategy and tactics.  Analyzed and summarized protests, pleadings, and interrogatories while directing the filing of timely responses to each.  Successfully negotiated settlements with a variety of local, governmental and industry stakeholders that saved shareholders over $5 Million annually.</w:t>
      </w:r>
    </w:p>
    <w:p>
      <w:pPr>
        <w:pStyle w:val="Normal"/>
        <w:numPr>
          <w:ilvl w:val="0"/>
          <w:numId w:val="2"/>
        </w:numPr>
        <w:tabs>
          <w:tab w:val="clear" w:pos="720"/>
          <w:tab w:val="left" w:pos="0" w:leader="none"/>
        </w:tabs>
        <w:ind w:hanging="720" w:start="1440" w:end="0"/>
        <w:jc w:val="both"/>
        <w:rPr>
          <w:sz w:val="22"/>
          <w:szCs w:val="22"/>
        </w:rPr>
      </w:pPr>
      <w:r>
        <w:rPr>
          <w:sz w:val="22"/>
          <w:szCs w:val="22"/>
        </w:rPr>
        <w:t>Directed the divestiture of certain utility assets and gained successful resolutions of the gain on sale treatment from the CPUC that saved shareholders $1 Million annually.</w:t>
      </w:r>
    </w:p>
    <w:p>
      <w:pPr>
        <w:pStyle w:val="Normal"/>
        <w:numPr>
          <w:ilvl w:val="0"/>
          <w:numId w:val="2"/>
        </w:numPr>
        <w:tabs>
          <w:tab w:val="clear" w:pos="720"/>
          <w:tab w:val="left" w:pos="0" w:leader="none"/>
        </w:tabs>
        <w:ind w:hanging="720" w:start="1440" w:end="0"/>
        <w:jc w:val="both"/>
        <w:rPr>
          <w:sz w:val="22"/>
          <w:szCs w:val="22"/>
        </w:rPr>
      </w:pPr>
      <w:r>
        <w:rPr>
          <w:sz w:val="22"/>
          <w:szCs w:val="22"/>
        </w:rPr>
        <w:t xml:space="preserve">Directed the Performance-Based Ratemaking filings for Southern California Gas Company that resulted in revenue gains of $12 Million and $8.7 Million in 1999 and 2000 respectively. </w:t>
      </w:r>
    </w:p>
    <w:p>
      <w:pPr>
        <w:pStyle w:val="Normal"/>
        <w:numPr>
          <w:ilvl w:val="0"/>
          <w:numId w:val="0"/>
        </w:numPr>
        <w:ind w:hanging="0" w:start="0"/>
        <w:rPr>
          <w:sz w:val="22"/>
          <w:szCs w:val="22"/>
        </w:rPr>
      </w:pPr>
      <w:r>
        <w:rPr>
          <w:sz w:val="22"/>
          <w:szCs w:val="22"/>
        </w:rPr>
      </w:r>
    </w:p>
    <w:p>
      <w:pPr>
        <w:pStyle w:val="Normal"/>
        <w:numPr>
          <w:ilvl w:val="0"/>
          <w:numId w:val="0"/>
        </w:numPr>
        <w:ind w:hanging="0" w:start="0"/>
        <w:rPr>
          <w:sz w:val="22"/>
          <w:szCs w:val="22"/>
        </w:rPr>
      </w:pPr>
      <w:r>
        <w:rPr>
          <w:sz w:val="22"/>
          <w:szCs w:val="22"/>
        </w:rPr>
        <w:t>Sales:</w:t>
      </w:r>
    </w:p>
    <w:p>
      <w:pPr>
        <w:pStyle w:val="Normal"/>
        <w:numPr>
          <w:ilvl w:val="0"/>
          <w:numId w:val="0"/>
        </w:numPr>
        <w:ind w:hanging="0" w:start="0"/>
        <w:rPr>
          <w:sz w:val="22"/>
          <w:szCs w:val="22"/>
        </w:rPr>
      </w:pPr>
      <w:r>
        <w:rPr>
          <w:sz w:val="22"/>
          <w:szCs w:val="22"/>
        </w:rPr>
      </w:r>
    </w:p>
    <w:p>
      <w:pPr>
        <w:pStyle w:val="Normal"/>
        <w:numPr>
          <w:ilvl w:val="0"/>
          <w:numId w:val="2"/>
        </w:numPr>
        <w:tabs>
          <w:tab w:val="clear" w:pos="720"/>
          <w:tab w:val="left" w:pos="0" w:leader="none"/>
        </w:tabs>
        <w:ind w:hanging="720" w:start="1440" w:end="0"/>
        <w:jc w:val="both"/>
        <w:rPr>
          <w:sz w:val="22"/>
          <w:szCs w:val="22"/>
        </w:rPr>
      </w:pPr>
      <w:r>
        <w:rPr>
          <w:sz w:val="22"/>
          <w:szCs w:val="22"/>
        </w:rPr>
        <w:t>Developed and executed sales strategies to deliver emerging product lines to market resulting in sales in excess of $1 million.</w:t>
      </w:r>
    </w:p>
    <w:p>
      <w:pPr>
        <w:pStyle w:val="Normal"/>
        <w:numPr>
          <w:ilvl w:val="0"/>
          <w:numId w:val="2"/>
        </w:numPr>
        <w:tabs>
          <w:tab w:val="clear" w:pos="720"/>
          <w:tab w:val="left" w:pos="0" w:leader="none"/>
        </w:tabs>
        <w:ind w:hanging="720" w:start="1440" w:end="0"/>
        <w:jc w:val="both"/>
        <w:rPr>
          <w:sz w:val="22"/>
          <w:szCs w:val="22"/>
        </w:rPr>
      </w:pPr>
      <w:r>
        <w:rPr>
          <w:sz w:val="22"/>
          <w:szCs w:val="22"/>
        </w:rPr>
        <w:t>Directed regional sales campaign to expand company market share, growing revenues by 20%.</w:t>
      </w:r>
    </w:p>
    <w:p>
      <w:pPr>
        <w:pStyle w:val="Normal"/>
        <w:numPr>
          <w:ilvl w:val="0"/>
          <w:numId w:val="2"/>
        </w:numPr>
        <w:tabs>
          <w:tab w:val="clear" w:pos="720"/>
          <w:tab w:val="left" w:pos="0" w:leader="none"/>
        </w:tabs>
        <w:ind w:hanging="720" w:start="1440" w:end="0"/>
        <w:jc w:val="both"/>
        <w:rPr>
          <w:sz w:val="22"/>
          <w:szCs w:val="22"/>
        </w:rPr>
      </w:pPr>
      <w:r>
        <w:rPr>
          <w:sz w:val="22"/>
          <w:szCs w:val="22"/>
        </w:rPr>
        <w:t>Utilized state-of-the-art promotion, pricing and marketing strategies to achieve required levels of market penetration.</w:t>
      </w:r>
    </w:p>
    <w:p>
      <w:pPr>
        <w:pStyle w:val="Normal"/>
        <w:numPr>
          <w:ilvl w:val="0"/>
          <w:numId w:val="0"/>
        </w:numPr>
        <w:ind w:hanging="0" w:start="0"/>
        <w:jc w:val="both"/>
        <w:rPr>
          <w:sz w:val="22"/>
          <w:szCs w:val="22"/>
        </w:rPr>
      </w:pPr>
      <w:r>
        <w:rPr>
          <w:sz w:val="22"/>
          <w:szCs w:val="22"/>
        </w:rPr>
      </w:r>
    </w:p>
    <w:p>
      <w:pPr>
        <w:pStyle w:val="BodyText"/>
        <w:numPr>
          <w:ilvl w:val="0"/>
          <w:numId w:val="0"/>
        </w:numPr>
        <w:ind w:hanging="0" w:start="0"/>
        <w:rPr/>
      </w:pPr>
      <w:r>
        <w:rPr/>
        <w:t>Production Management:</w:t>
      </w:r>
    </w:p>
    <w:p>
      <w:pPr>
        <w:pStyle w:val="BodyText"/>
        <w:numPr>
          <w:ilvl w:val="0"/>
          <w:numId w:val="0"/>
        </w:numPr>
        <w:ind w:hanging="0" w:start="0"/>
        <w:rPr/>
      </w:pPr>
      <w:r>
        <w:rPr/>
      </w:r>
    </w:p>
    <w:p>
      <w:pPr>
        <w:pStyle w:val="Normal"/>
        <w:numPr>
          <w:ilvl w:val="0"/>
          <w:numId w:val="2"/>
        </w:numPr>
        <w:tabs>
          <w:tab w:val="clear" w:pos="720"/>
          <w:tab w:val="left" w:pos="0" w:leader="none"/>
        </w:tabs>
        <w:ind w:hanging="720" w:start="1440" w:end="0"/>
        <w:jc w:val="both"/>
        <w:rPr>
          <w:sz w:val="22"/>
          <w:szCs w:val="22"/>
        </w:rPr>
      </w:pPr>
      <w:r>
        <w:rPr>
          <w:sz w:val="22"/>
          <w:szCs w:val="22"/>
        </w:rPr>
        <w:t>Managed production process improvements by leading top-to-bottom review of production processes.  Increased production efficiencies by 40% by enabling work force participation in system design and production goals.</w:t>
      </w:r>
    </w:p>
    <w:p>
      <w:pPr>
        <w:pStyle w:val="Normal"/>
        <w:numPr>
          <w:ilvl w:val="0"/>
          <w:numId w:val="2"/>
        </w:numPr>
        <w:tabs>
          <w:tab w:val="clear" w:pos="720"/>
          <w:tab w:val="left" w:pos="0" w:leader="none"/>
        </w:tabs>
        <w:ind w:hanging="720" w:start="1440" w:end="0"/>
        <w:jc w:val="both"/>
        <w:rPr>
          <w:sz w:val="22"/>
          <w:szCs w:val="22"/>
        </w:rPr>
      </w:pPr>
      <w:r>
        <w:rPr>
          <w:sz w:val="22"/>
          <w:szCs w:val="22"/>
        </w:rPr>
        <w:t>Supervised 8 employees. Identified and mentored individuals capable of assuming greater responsibility.  Identified skill deficiencies and established individual training programs.</w:t>
      </w:r>
    </w:p>
    <w:p>
      <w:pPr>
        <w:pStyle w:val="Normal"/>
        <w:numPr>
          <w:ilvl w:val="0"/>
          <w:numId w:val="0"/>
        </w:numPr>
        <w:ind w:hanging="0" w:start="0"/>
        <w:jc w:val="both"/>
        <w:rPr>
          <w:sz w:val="22"/>
          <w:szCs w:val="22"/>
        </w:rPr>
      </w:pPr>
      <w:r>
        <w:rPr>
          <w:sz w:val="22"/>
          <w:szCs w:val="22"/>
        </w:rPr>
      </w:r>
    </w:p>
    <w:p>
      <w:pPr>
        <w:pStyle w:val="Normal"/>
        <w:numPr>
          <w:ilvl w:val="0"/>
          <w:numId w:val="0"/>
        </w:numPr>
        <w:ind w:hanging="0" w:start="0"/>
        <w:rPr>
          <w:sz w:val="22"/>
          <w:szCs w:val="22"/>
        </w:rPr>
      </w:pPr>
      <w:r>
        <w:rPr>
          <w:sz w:val="22"/>
          <w:szCs w:val="22"/>
        </w:rPr>
      </w:r>
    </w:p>
    <w:p>
      <w:pPr>
        <w:pStyle w:val="Normal"/>
        <w:numPr>
          <w:ilvl w:val="0"/>
          <w:numId w:val="0"/>
        </w:numPr>
        <w:ind w:hanging="0" w:start="0"/>
        <w:rPr>
          <w:sz w:val="22"/>
          <w:szCs w:val="22"/>
        </w:rPr>
      </w:pPr>
      <w:r>
        <w:rPr>
          <w:sz w:val="22"/>
          <w:szCs w:val="22"/>
        </w:rPr>
      </w:r>
    </w:p>
    <w:p>
      <w:pPr>
        <w:pStyle w:val="Normal"/>
        <w:numPr>
          <w:ilvl w:val="0"/>
          <w:numId w:val="0"/>
        </w:numPr>
        <w:ind w:hanging="0" w:start="0"/>
        <w:rPr>
          <w:sz w:val="22"/>
          <w:szCs w:val="22"/>
        </w:rPr>
      </w:pPr>
      <w:r>
        <w:rPr>
          <w:sz w:val="22"/>
          <w:szCs w:val="22"/>
        </w:rPr>
      </w:r>
    </w:p>
    <w:p>
      <w:pPr>
        <w:pStyle w:val="Normal"/>
        <w:numPr>
          <w:ilvl w:val="0"/>
          <w:numId w:val="0"/>
        </w:numPr>
        <w:ind w:hanging="0" w:start="0"/>
        <w:rPr>
          <w:sz w:val="22"/>
          <w:szCs w:val="22"/>
        </w:rPr>
      </w:pPr>
      <w:r>
        <w:rPr>
          <w:sz w:val="22"/>
          <w:szCs w:val="22"/>
        </w:rPr>
      </w:r>
    </w:p>
    <w:p>
      <w:pPr>
        <w:pStyle w:val="BodyText"/>
        <w:numPr>
          <w:ilvl w:val="0"/>
          <w:numId w:val="0"/>
        </w:numPr>
        <w:ind w:hanging="0" w:start="0"/>
        <w:rPr/>
      </w:pPr>
      <w:r>
        <w:rPr/>
        <w:t>Project Management:</w:t>
      </w:r>
    </w:p>
    <w:p>
      <w:pPr>
        <w:pStyle w:val="BodyText"/>
        <w:numPr>
          <w:ilvl w:val="0"/>
          <w:numId w:val="0"/>
        </w:numPr>
        <w:ind w:hanging="0" w:start="0"/>
        <w:rPr/>
      </w:pPr>
      <w:r>
        <w:rPr/>
      </w:r>
    </w:p>
    <w:p>
      <w:pPr>
        <w:pStyle w:val="Normal"/>
        <w:numPr>
          <w:ilvl w:val="0"/>
          <w:numId w:val="2"/>
        </w:numPr>
        <w:tabs>
          <w:tab w:val="clear" w:pos="720"/>
          <w:tab w:val="left" w:pos="0" w:leader="none"/>
        </w:tabs>
        <w:ind w:hanging="720" w:start="1440" w:end="0"/>
        <w:jc w:val="both"/>
        <w:rPr>
          <w:sz w:val="22"/>
          <w:szCs w:val="22"/>
        </w:rPr>
      </w:pPr>
      <w:r>
        <w:rPr>
          <w:sz w:val="22"/>
          <w:szCs w:val="22"/>
        </w:rPr>
        <w:t>Managed underground tank replacement program and commercial headquarters consolidation program, coordinating disparate interests including end users, outside contractors, public departments and contract services to achieve desired outcomes with minimal financial exposure, on-time and in-budget.</w:t>
      </w:r>
    </w:p>
    <w:p>
      <w:pPr>
        <w:pStyle w:val="Normal"/>
        <w:numPr>
          <w:ilvl w:val="0"/>
          <w:numId w:val="0"/>
        </w:numPr>
        <w:ind w:hanging="0" w:start="0"/>
        <w:jc w:val="both"/>
        <w:rPr>
          <w:sz w:val="22"/>
          <w:szCs w:val="22"/>
        </w:rPr>
      </w:pPr>
      <w:r>
        <w:rPr>
          <w:sz w:val="22"/>
          <w:szCs w:val="22"/>
        </w:rPr>
      </w:r>
    </w:p>
    <w:p>
      <w:pPr>
        <w:pStyle w:val="Normal"/>
        <w:numPr>
          <w:ilvl w:val="0"/>
          <w:numId w:val="0"/>
        </w:numPr>
        <w:ind w:hanging="0" w:start="0"/>
        <w:rPr>
          <w:sz w:val="22"/>
          <w:szCs w:val="22"/>
        </w:rPr>
      </w:pPr>
      <w:r>
        <w:rPr>
          <w:sz w:val="22"/>
          <w:szCs w:val="22"/>
        </w:rPr>
        <w:t>Accounting:</w:t>
      </w:r>
    </w:p>
    <w:p>
      <w:pPr>
        <w:pStyle w:val="Normal"/>
        <w:numPr>
          <w:ilvl w:val="0"/>
          <w:numId w:val="0"/>
        </w:numPr>
        <w:ind w:hanging="0" w:start="0"/>
        <w:rPr>
          <w:sz w:val="22"/>
          <w:szCs w:val="22"/>
        </w:rPr>
      </w:pPr>
      <w:r>
        <w:rPr>
          <w:sz w:val="22"/>
          <w:szCs w:val="22"/>
        </w:rPr>
      </w:r>
    </w:p>
    <w:p>
      <w:pPr>
        <w:pStyle w:val="Normal"/>
        <w:numPr>
          <w:ilvl w:val="0"/>
          <w:numId w:val="2"/>
        </w:numPr>
        <w:tabs>
          <w:tab w:val="clear" w:pos="720"/>
          <w:tab w:val="left" w:pos="0" w:leader="none"/>
        </w:tabs>
        <w:ind w:hanging="720" w:start="1440" w:end="0"/>
        <w:jc w:val="both"/>
        <w:rPr>
          <w:sz w:val="22"/>
          <w:szCs w:val="22"/>
        </w:rPr>
      </w:pPr>
      <w:r>
        <w:rPr>
          <w:sz w:val="22"/>
          <w:szCs w:val="22"/>
        </w:rPr>
        <w:t>Directed asset analysis and compliance, evaluating the feasibility of changes in the tax codes on asset utilization.  Responsible for analysis leading to the enactment of TEFRA and the subsequent compliance with new capitalized inventory requirements for LIFO gas storage fields prior to the issuance of IRS temporary regulations requiring continual review and analysis of the congressional record and industry trend.</w:t>
      </w:r>
    </w:p>
    <w:p>
      <w:pPr>
        <w:pStyle w:val="Heading2"/>
        <w:ind w:hanging="0" w:start="0"/>
        <w:rPr/>
      </w:pPr>
      <w:r>
        <w:rPr/>
      </w:r>
    </w:p>
    <w:p>
      <w:pPr>
        <w:pStyle w:val="Heading2"/>
        <w:ind w:hanging="0" w:start="0"/>
        <w:rPr/>
      </w:pPr>
      <w:r>
        <w:rPr/>
      </w:r>
    </w:p>
    <w:p>
      <w:pPr>
        <w:pStyle w:val="Heading2"/>
        <w:ind w:hanging="0" w:start="0"/>
        <w:rPr/>
      </w:pPr>
      <w:r>
        <w:rPr/>
        <w:t>WORK HISTORY</w:t>
      </w:r>
    </w:p>
    <w:p>
      <w:pPr>
        <w:pStyle w:val="Normal"/>
        <w:rPr/>
      </w:pPr>
      <w:r>
        <w:rPr/>
      </w:r>
    </w:p>
    <w:p>
      <w:pPr>
        <w:pStyle w:val="Header"/>
        <w:tabs>
          <w:tab w:val="clear" w:pos="4320"/>
          <w:tab w:val="clear" w:pos="8640"/>
        </w:tabs>
        <w:rPr>
          <w:sz w:val="22"/>
          <w:szCs w:val="22"/>
        </w:rPr>
      </w:pPr>
      <w:r>
        <w:rPr>
          <w:sz w:val="22"/>
          <w:szCs w:val="22"/>
        </w:rPr>
        <w:tab/>
        <w:t>Sempra Energy</w:t>
      </w:r>
    </w:p>
    <w:p>
      <w:pPr>
        <w:pStyle w:val="Normal"/>
        <w:rPr>
          <w:sz w:val="22"/>
          <w:szCs w:val="22"/>
        </w:rPr>
      </w:pPr>
      <w:r>
        <w:rPr>
          <w:sz w:val="22"/>
          <w:szCs w:val="22"/>
        </w:rPr>
        <w:tab/>
        <w:t>Blackwood Designworks</w:t>
      </w:r>
    </w:p>
    <w:p>
      <w:pPr>
        <w:pStyle w:val="Normal"/>
        <w:rPr>
          <w:sz w:val="22"/>
          <w:szCs w:val="22"/>
        </w:rPr>
      </w:pPr>
      <w:r>
        <w:rPr>
          <w:sz w:val="22"/>
          <w:szCs w:val="22"/>
        </w:rPr>
        <w:tab/>
        <w:t>American Express Financial Advisors</w:t>
      </w:r>
    </w:p>
    <w:p>
      <w:pPr>
        <w:pStyle w:val="Normal"/>
        <w:rPr>
          <w:sz w:val="22"/>
          <w:szCs w:val="22"/>
        </w:rPr>
      </w:pPr>
      <w:r>
        <w:rPr>
          <w:sz w:val="22"/>
          <w:szCs w:val="22"/>
        </w:rPr>
        <w:tab/>
        <w:t>Bay Cities Disc</w:t>
      </w:r>
    </w:p>
    <w:p>
      <w:pPr>
        <w:pStyle w:val="Normal"/>
        <w:rPr>
          <w:sz w:val="22"/>
          <w:szCs w:val="22"/>
        </w:rPr>
      </w:pPr>
      <w:r>
        <w:rPr>
          <w:sz w:val="22"/>
          <w:szCs w:val="22"/>
        </w:rPr>
        <w:tab/>
        <w:t>Residential Building Development</w:t>
      </w:r>
    </w:p>
    <w:p>
      <w:pPr>
        <w:pStyle w:val="Normal"/>
        <w:rPr>
          <w:sz w:val="22"/>
          <w:szCs w:val="22"/>
        </w:rPr>
      </w:pPr>
      <w:r>
        <w:rPr>
          <w:sz w:val="22"/>
          <w:szCs w:val="22"/>
        </w:rPr>
        <w:tab/>
        <w:t>Southern California Gas Company</w:t>
      </w:r>
    </w:p>
    <w:p>
      <w:pPr>
        <w:pStyle w:val="Normal"/>
        <w:rPr>
          <w:sz w:val="22"/>
          <w:szCs w:val="22"/>
        </w:rPr>
      </w:pPr>
      <w:r>
        <w:rPr>
          <w:sz w:val="22"/>
          <w:szCs w:val="22"/>
        </w:rPr>
      </w:r>
    </w:p>
    <w:p>
      <w:pPr>
        <w:pStyle w:val="Normal"/>
        <w:rPr>
          <w:sz w:val="22"/>
          <w:szCs w:val="22"/>
        </w:rPr>
      </w:pPr>
      <w:r>
        <w:rPr>
          <w:sz w:val="22"/>
          <w:szCs w:val="22"/>
        </w:rPr>
      </w:r>
    </w:p>
    <w:p>
      <w:pPr>
        <w:pStyle w:val="Heading3"/>
        <w:ind w:hanging="0" w:start="0"/>
        <w:rPr>
          <w:sz w:val="22"/>
          <w:szCs w:val="22"/>
        </w:rPr>
      </w:pPr>
      <w:r>
        <w:rPr>
          <w:sz w:val="22"/>
          <w:szCs w:val="22"/>
        </w:rPr>
        <w:t>EDUCATION</w:t>
      </w:r>
    </w:p>
    <w:p>
      <w:pPr>
        <w:pStyle w:val="Normal"/>
        <w:rPr>
          <w:sz w:val="22"/>
          <w:szCs w:val="22"/>
        </w:rPr>
      </w:pPr>
      <w:r>
        <w:rPr>
          <w:sz w:val="22"/>
          <w:szCs w:val="22"/>
        </w:rPr>
      </w:r>
    </w:p>
    <w:p>
      <w:pPr>
        <w:pStyle w:val="Normal"/>
        <w:rPr>
          <w:sz w:val="22"/>
          <w:szCs w:val="22"/>
        </w:rPr>
      </w:pPr>
      <w:r>
        <w:rPr>
          <w:sz w:val="22"/>
          <w:szCs w:val="22"/>
        </w:rPr>
        <w:tab/>
        <w:t>Master of Science in Taxation</w:t>
      </w:r>
    </w:p>
    <w:p>
      <w:pPr>
        <w:pStyle w:val="Normal"/>
        <w:rPr>
          <w:sz w:val="22"/>
          <w:szCs w:val="22"/>
        </w:rPr>
      </w:pPr>
      <w:r>
        <w:rPr>
          <w:sz w:val="22"/>
          <w:szCs w:val="22"/>
        </w:rPr>
        <w:tab/>
        <w:t>Golden Gate University 1987</w:t>
      </w:r>
    </w:p>
    <w:p>
      <w:pPr>
        <w:pStyle w:val="Normal"/>
        <w:rPr>
          <w:sz w:val="22"/>
          <w:szCs w:val="22"/>
        </w:rPr>
      </w:pPr>
      <w:r>
        <w:rPr>
          <w:sz w:val="22"/>
          <w:szCs w:val="22"/>
        </w:rPr>
      </w:r>
    </w:p>
    <w:p>
      <w:pPr>
        <w:pStyle w:val="Normal"/>
        <w:rPr>
          <w:sz w:val="22"/>
          <w:szCs w:val="22"/>
        </w:rPr>
      </w:pPr>
      <w:r>
        <w:rPr>
          <w:sz w:val="22"/>
          <w:szCs w:val="22"/>
        </w:rPr>
        <w:tab/>
        <w:t>Bachelor of Administration in Accounting</w:t>
      </w:r>
    </w:p>
    <w:p>
      <w:pPr>
        <w:pStyle w:val="Normal"/>
        <w:rPr>
          <w:sz w:val="22"/>
          <w:szCs w:val="22"/>
        </w:rPr>
      </w:pPr>
      <w:r>
        <w:rPr>
          <w:sz w:val="22"/>
          <w:szCs w:val="22"/>
        </w:rPr>
        <w:tab/>
        <w:t>National University 1983</w:t>
      </w:r>
    </w:p>
    <w:p>
      <w:pPr>
        <w:pStyle w:val="Normal"/>
        <w:rPr>
          <w:sz w:val="22"/>
          <w:szCs w:val="22"/>
        </w:rPr>
      </w:pPr>
      <w:r>
        <w:rPr>
          <w:sz w:val="22"/>
          <w:szCs w:val="22"/>
        </w:rPr>
      </w:r>
    </w:p>
    <w:p>
      <w:pPr>
        <w:pStyle w:val="Normal"/>
        <w:ind w:firstLine="720" w:end="0"/>
        <w:rPr>
          <w:sz w:val="22"/>
          <w:szCs w:val="22"/>
        </w:rPr>
      </w:pPr>
      <w:r>
        <w:rPr>
          <w:sz w:val="22"/>
          <w:szCs w:val="22"/>
        </w:rPr>
        <w:t xml:space="preserve">Extensive formal training by American Express in financial analysis and negotiation. </w:t>
      </w:r>
    </w:p>
    <w:p>
      <w:pPr>
        <w:pStyle w:val="Normal"/>
        <w:rPr>
          <w:sz w:val="22"/>
          <w:szCs w:val="22"/>
        </w:rPr>
      </w:pPr>
      <w:r>
        <w:rPr>
          <w:sz w:val="22"/>
          <w:szCs w:val="22"/>
        </w:rPr>
      </w:r>
    </w:p>
    <w:p>
      <w:pPr>
        <w:pStyle w:val="Normal"/>
        <w:rPr>
          <w:sz w:val="22"/>
          <w:szCs w:val="22"/>
        </w:rPr>
      </w:pPr>
      <w:r>
        <w:rPr>
          <w:sz w:val="22"/>
          <w:szCs w:val="22"/>
        </w:rPr>
      </w:r>
    </w:p>
    <w:p>
      <w:pPr>
        <w:pStyle w:val="Heading3"/>
        <w:ind w:hanging="0" w:start="0"/>
        <w:rPr>
          <w:sz w:val="22"/>
          <w:szCs w:val="22"/>
        </w:rPr>
      </w:pPr>
      <w:r>
        <w:rPr>
          <w:sz w:val="22"/>
          <w:szCs w:val="22"/>
        </w:rPr>
        <w:t>LICENSES</w:t>
      </w:r>
    </w:p>
    <w:p>
      <w:pPr>
        <w:pStyle w:val="Normal"/>
        <w:rPr>
          <w:sz w:val="22"/>
          <w:szCs w:val="22"/>
        </w:rPr>
      </w:pPr>
      <w:r>
        <w:rPr>
          <w:sz w:val="22"/>
          <w:szCs w:val="22"/>
        </w:rPr>
        <w:tab/>
        <w:t>Securities and Exchange Commission Series 7</w:t>
      </w:r>
    </w:p>
    <w:p>
      <w:pPr>
        <w:pStyle w:val="Normal"/>
        <w:rPr>
          <w:sz w:val="22"/>
          <w:szCs w:val="22"/>
        </w:rPr>
      </w:pPr>
      <w:r>
        <w:rPr>
          <w:sz w:val="22"/>
          <w:szCs w:val="22"/>
        </w:rPr>
        <w:tab/>
        <w:t>Securities and Exchange Commission Series 63</w:t>
      </w:r>
    </w:p>
    <w:p>
      <w:pPr>
        <w:pStyle w:val="Normal"/>
        <w:rPr>
          <w:sz w:val="22"/>
          <w:szCs w:val="22"/>
        </w:rPr>
      </w:pPr>
      <w:r>
        <w:rPr>
          <w:sz w:val="22"/>
          <w:szCs w:val="22"/>
        </w:rPr>
        <w:tab/>
        <w:t>California General Contractors B License</w:t>
      </w:r>
    </w:p>
    <w:p>
      <w:pPr>
        <w:pStyle w:val="Normal"/>
        <w:rPr>
          <w:sz w:val="22"/>
          <w:szCs w:val="22"/>
        </w:rPr>
      </w:pPr>
      <w:r>
        <w:rPr>
          <w:sz w:val="22"/>
          <w:szCs w:val="22"/>
        </w:rPr>
      </w:r>
    </w:p>
    <w:p>
      <w:pPr>
        <w:pStyle w:val="Normal"/>
        <w:rPr>
          <w:sz w:val="22"/>
          <w:szCs w:val="22"/>
        </w:rPr>
      </w:pPr>
      <w:r>
        <w:rPr>
          <w:sz w:val="22"/>
          <w:szCs w:val="22"/>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Dale M. Bailey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pBdr>
        <w:bottom w:val="single" w:sz="6" w:space="1" w:color="000000"/>
      </w:pBdr>
      <w:outlineLvl w:val="0"/>
    </w:pPr>
    <w:rPr>
      <w:b/>
      <w:bCs/>
      <w:sz w:val="28"/>
      <w:szCs w:val="28"/>
    </w:rPr>
  </w:style>
  <w:style w:type="paragraph" w:styleId="Heading2">
    <w:name w:val="heading 2"/>
    <w:basedOn w:val="Normal"/>
    <w:next w:val="Normal"/>
    <w:qFormat/>
    <w:pPr>
      <w:keepNext w:val="true"/>
      <w:numPr>
        <w:ilvl w:val="1"/>
        <w:numId w:val="1"/>
      </w:numPr>
      <w:outlineLvl w:val="1"/>
    </w:pPr>
    <w:rPr>
      <w:b/>
      <w:bCs/>
      <w:sz w:val="22"/>
      <w:szCs w:val="22"/>
    </w:rPr>
  </w:style>
  <w:style w:type="paragraph" w:styleId="Heading3">
    <w:name w:val="heading 3"/>
    <w:basedOn w:val="Normal"/>
    <w:next w:val="Normal"/>
    <w:qFormat/>
    <w:pPr>
      <w:keepNext w:val="true"/>
      <w:numPr>
        <w:ilvl w:val="2"/>
        <w:numId w:val="1"/>
      </w:numPr>
      <w:outlineLvl w:val="2"/>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2000-09-21T19:31:00Z</dcterms:created>
  <dc:creator>Sempra Energy</dc:creator>
  <dc:description/>
  <dc:language>en-CA</dc:language>
  <cp:lastModifiedBy>Sempra Energy</cp:lastModifiedBy>
  <cp:lastPrinted>2000-09-21T14:56:00Z</cp:lastPrinted>
  <dcterms:modified xsi:type="dcterms:W3CDTF">2000-09-21T19:31:00Z</dcterms:modified>
  <cp:revision>2</cp:revision>
  <dc:subject/>
  <dc:title>DALE M</dc:title>
</cp:coreProperties>
</file>