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CRESCENDO ENERGY, L.L.C.</w:t>
      </w:r>
    </w:p>
    <w:p>
      <w:pPr>
        <w:pStyle w:val="Heading2"/>
        <w:ind w:hanging="0" w:start="0"/>
        <w:rPr/>
      </w:pPr>
      <w:r>
        <w:rPr/>
        <w:t>Gathering, Processing, and Transportation Agreement Analysis</w:t>
      </w:r>
    </w:p>
    <w:p>
      <w:pPr>
        <w:pStyle w:val="Normal"/>
        <w:jc w:val="center"/>
        <w:rPr/>
      </w:pPr>
      <w:r>
        <w:rPr/>
      </w:r>
    </w:p>
    <w:p>
      <w:pPr>
        <w:pStyle w:val="Heading3"/>
        <w:ind w:hanging="0" w:start="0"/>
        <w:jc w:val="both"/>
        <w:rPr/>
      </w:pPr>
      <w:r>
        <w:rPr/>
        <w:t>CRESCENDO INFORMS WILDHORSE OF ITS INTENT TO INSTALL PLANT AT BADGER WASH AND DEMAND WILDHORSE MOVE ENTRADA/DAKOTA PRODUCTION TO PLANT UNDER THE TERMS OF THE EXISTING CONTRACT.</w:t>
      </w:r>
    </w:p>
    <w:p>
      <w:pPr>
        <w:pStyle w:val="Normal"/>
        <w:rPr/>
      </w:pPr>
      <w:r>
        <w:rPr/>
      </w:r>
    </w:p>
    <w:p>
      <w:pPr>
        <w:pStyle w:val="Normal"/>
        <w:jc w:val="both"/>
        <w:rPr/>
      </w:pPr>
      <w:r>
        <w:rPr/>
      </w:r>
    </w:p>
    <w:p>
      <w:pPr>
        <w:pStyle w:val="BodyText"/>
        <w:rPr/>
      </w:pPr>
      <w:r>
        <w:rPr/>
        <w:t>Issue: Can Wildhorse move Entrada/Dakota Production to Badger Wash Plant without “</w:t>
      </w:r>
      <w:r>
        <w:rPr>
          <w:u w:val="single"/>
        </w:rPr>
        <w:t>adverse effects</w:t>
      </w:r>
      <w:r>
        <w:rPr/>
        <w:t>” to their systems?</w:t>
      </w:r>
    </w:p>
    <w:p>
      <w:pPr>
        <w:pStyle w:val="BodyText"/>
        <w:rPr/>
      </w:pPr>
      <w:r>
        <w:rPr/>
      </w:r>
    </w:p>
    <w:p>
      <w:pPr>
        <w:pStyle w:val="Normal"/>
        <w:ind w:firstLine="720" w:end="0"/>
        <w:jc w:val="both"/>
        <w:rPr/>
      </w:pPr>
      <w:r>
        <w:rPr/>
        <w:t>1.</w:t>
        <w:tab/>
      </w:r>
      <w:r>
        <w:rPr>
          <w:b/>
          <w:bCs/>
        </w:rPr>
        <w:t>If Yes</w:t>
      </w:r>
      <w:r>
        <w:rPr/>
        <w:t xml:space="preserve"> – Wildhorse should, under their obligation to perform contract in good faith, move gas to Badger Wash.</w:t>
      </w:r>
    </w:p>
    <w:p>
      <w:pPr>
        <w:pStyle w:val="Normal"/>
        <w:jc w:val="both"/>
        <w:rPr/>
      </w:pPr>
      <w:r>
        <w:rPr/>
      </w:r>
    </w:p>
    <w:p>
      <w:pPr>
        <w:pStyle w:val="Normal"/>
        <w:jc w:val="both"/>
        <w:rPr/>
      </w:pPr>
      <w:r>
        <w:rPr/>
      </w:r>
    </w:p>
    <w:p>
      <w:pPr>
        <w:pStyle w:val="Normal"/>
        <w:ind w:firstLine="720" w:end="0"/>
        <w:jc w:val="both"/>
        <w:rPr/>
      </w:pPr>
      <w:r>
        <w:rPr/>
        <w:t>2.</w:t>
        <w:tab/>
      </w:r>
      <w:r>
        <w:rPr>
          <w:b/>
          <w:bCs/>
        </w:rPr>
        <w:t>If No</w:t>
      </w:r>
      <w:r>
        <w:rPr/>
        <w:t xml:space="preserve"> – Wildhorse would have a good faith reason to refuse to move Entrada/Dakota to Badger Wash.</w:t>
      </w:r>
    </w:p>
    <w:p>
      <w:pPr>
        <w:pStyle w:val="Normal"/>
        <w:jc w:val="both"/>
        <w:rPr/>
      </w:pPr>
      <w:r>
        <w:rPr/>
      </w:r>
    </w:p>
    <w:p>
      <w:pPr>
        <w:pStyle w:val="Normal"/>
        <w:ind w:firstLine="720" w:end="0"/>
        <w:jc w:val="both"/>
        <w:rPr/>
      </w:pPr>
      <w:r>
        <w:rPr/>
        <w:t>Solution:  Crescendo proposes options to mitigate Wildhorse’s “adverse effects” within context of existing contract:</w:t>
      </w:r>
    </w:p>
    <w:p>
      <w:pPr>
        <w:pStyle w:val="Normal"/>
        <w:numPr>
          <w:ilvl w:val="0"/>
          <w:numId w:val="2"/>
        </w:numPr>
        <w:jc w:val="both"/>
        <w:rPr/>
      </w:pPr>
      <w:r>
        <w:rPr/>
        <w:t>Share costs of require system mods. with Wildhorse</w:t>
      </w:r>
    </w:p>
    <w:p>
      <w:pPr>
        <w:pStyle w:val="Normal"/>
        <w:numPr>
          <w:ilvl w:val="0"/>
          <w:numId w:val="2"/>
        </w:numPr>
        <w:jc w:val="both"/>
        <w:rPr/>
      </w:pPr>
      <w:r>
        <w:rPr/>
        <w:t>Reimburse Wildhorse for reasonable costs of modifications</w:t>
      </w:r>
    </w:p>
    <w:p>
      <w:pPr>
        <w:pStyle w:val="Normal"/>
        <w:numPr>
          <w:ilvl w:val="0"/>
          <w:numId w:val="2"/>
        </w:numPr>
        <w:jc w:val="both"/>
        <w:rPr/>
      </w:pPr>
      <w:r>
        <w:rPr/>
        <w:t>Crescendo perform system modifications</w:t>
      </w:r>
    </w:p>
    <w:p>
      <w:pPr>
        <w:pStyle w:val="Normal"/>
        <w:ind w:start="720" w:end="0"/>
        <w:jc w:val="both"/>
        <w:rPr/>
      </w:pPr>
      <w:r>
        <w:rPr/>
      </w:r>
    </w:p>
    <w:p>
      <w:pPr>
        <w:pStyle w:val="Normal"/>
        <w:ind w:start="720" w:end="0"/>
        <w:jc w:val="both"/>
        <w:rPr/>
      </w:pPr>
      <w:r>
        <w:rPr/>
        <w:t xml:space="preserve">If Crescendo shows good faith attempt to resolve in a reasonable manner, Wildhorse’s “adverse effects”, Wildhorse must work with Crescendo in good faith to reach solution or potentially be in violation of duty of good faith and fair dealing under the existing contract. </w:t>
      </w:r>
    </w:p>
    <w:p>
      <w:pPr>
        <w:pStyle w:val="Normal"/>
        <w:jc w:val="both"/>
        <w:rPr/>
      </w:pPr>
      <w:r>
        <w:rPr/>
      </w:r>
    </w:p>
    <w:p>
      <w:pPr>
        <w:pStyle w:val="Normal"/>
        <w:jc w:val="both"/>
        <w:rPr/>
      </w:pPr>
      <w:r>
        <w:rPr/>
        <w:t>Note:  Within the context of the above, Crescendo would need to resolve any issues under the existing contract that Wildhorse has disputed.</w:t>
      </w:r>
    </w:p>
    <w:p>
      <w:pPr>
        <w:pStyle w:val="Normal"/>
        <w:jc w:val="both"/>
        <w:rPr/>
      </w:pPr>
      <w:r>
        <w:rPr/>
      </w:r>
    </w:p>
    <w:p>
      <w:pPr>
        <w:pStyle w:val="Normal"/>
        <w:jc w:val="both"/>
        <w:rPr/>
      </w:pPr>
      <w:r>
        <w:rPr/>
        <w:t>Ken Krisa is currently reviewing potential adverse effects on Wildhorse’s system.</w:t>
      </w:r>
    </w:p>
    <w:p>
      <w:pPr>
        <w:pStyle w:val="Normal"/>
        <w:ind w:start="3600" w:end="0"/>
        <w:jc w:val="both"/>
        <w:rPr/>
      </w:pPr>
      <w:r>
        <w:rPr/>
        <w:tab/>
      </w:r>
    </w:p>
    <w:p>
      <w:pPr>
        <w:pStyle w:val="Normal"/>
        <w:ind w:start="3600" w:end="0"/>
        <w:jc w:val="both"/>
        <w:rPr/>
      </w:pPr>
      <w:r>
        <w:rPr/>
      </w:r>
    </w:p>
    <w:p>
      <w:pPr>
        <w:pStyle w:val="Normal"/>
        <w:ind w:start="3600" w:end="0"/>
        <w:jc w:val="both"/>
        <w:rPr/>
      </w:pPr>
      <w:r>
        <w:rPr/>
        <w:t xml:space="preserve"> </w:t>
      </w:r>
    </w:p>
    <w:p>
      <w:pPr>
        <w:pStyle w:val="Normal"/>
        <w:ind w:start="720" w:end="0"/>
        <w:jc w:val="both"/>
        <w:rPr/>
      </w:pPr>
      <w:r>
        <w:rPr/>
        <w:tab/>
        <w:tab/>
        <w:tab/>
        <w:t xml:space="preserve"> </w:t>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bullet"/>
      <w:lvlText w:val=""/>
      <w:lvlJc w:val="start"/>
      <w:pPr>
        <w:tabs>
          <w:tab w:val="num" w:pos="2160"/>
        </w:tabs>
        <w:ind w:start="216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both"/>
      <w:outlineLvl w:val="0"/>
    </w:pPr>
    <w:rPr>
      <w:b/>
      <w:bCs/>
    </w:rPr>
  </w:style>
  <w:style w:type="paragraph" w:styleId="Heading2">
    <w:name w:val="heading 2"/>
    <w:basedOn w:val="Normal"/>
    <w:next w:val="Normal"/>
    <w:qFormat/>
    <w:pPr>
      <w:keepNext w:val="true"/>
      <w:numPr>
        <w:ilvl w:val="1"/>
        <w:numId w:val="1"/>
      </w:numPr>
      <w:jc w:val="center"/>
      <w:outlineLvl w:val="1"/>
    </w:pPr>
    <w:rPr>
      <w:u w:val="single"/>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3z3">
    <w:name w:val="WW8Num3z3"/>
    <w:qFormat/>
    <w:rPr>
      <w:rFonts w:ascii="Symbol" w:hAnsi="Symbol" w:eastAsia="Times New Roman" w:cs="Times New Roman"/>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ind w:hanging="360" w:start="180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2000-09-20T11:58:00Z</dcterms:created>
  <dc:creator>gnemec</dc:creator>
  <dc:description/>
  <dc:language>en-CA</dc:language>
  <cp:lastModifiedBy>gnemec</cp:lastModifiedBy>
  <cp:lastPrinted>2000-09-20T09:39:00Z</cp:lastPrinted>
  <dcterms:modified xsi:type="dcterms:W3CDTF">2000-09-20T12:30:00Z</dcterms:modified>
  <cp:revision>8</cp:revision>
  <dc:subject/>
  <dc:title>CRESCENDO ENERGY, L</dc:title>
</cp:coreProperties>
</file>