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Confidentiality and No-Solicitation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Confidentiality and No-Solicitation Agreement (“Agreement”), is entered into by </w:t>
      </w:r>
      <w:r>
        <w:rPr>
          <w:b/>
          <w:bCs/>
        </w:rPr>
        <w:t>Suzanne Badeaux</w:t>
      </w:r>
      <w:r>
        <w:rPr>
          <w:rFonts w:cs="Times New Roman" w:ascii="Times New Roman" w:hAnsi="Times New Roman"/>
          <w:spacing w:val="-2"/>
        </w:rPr>
        <w:t xml:space="preserve"> (“Consultant”) for the benefit of </w:t>
      </w:r>
      <w:r>
        <w:rPr>
          <w:rFonts w:cs="Times New Roman" w:ascii="Times New Roman" w:hAnsi="Times New Roman"/>
          <w:b/>
          <w:spacing w:val="-2"/>
        </w:rPr>
        <w:t>Enron Midstream Services, L.L.C.</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and its affiliates and subsidiaries (“Enron”), to be effective as of the date of signature.  Consultant agrees as follows: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1:  Confidentiality and Non-Solicitation</w:t>
      </w:r>
    </w:p>
    <w:p>
      <w:pPr>
        <w:pStyle w:val="Normal"/>
        <w:jc w:val="both"/>
        <w:rPr>
          <w:rFonts w:ascii="Times New Roman" w:hAnsi="Times New Roman" w:cs="Times New Roman"/>
          <w:b/>
          <w:spacing w:val="-2"/>
          <w:sz w:val="23"/>
        </w:rPr>
      </w:pPr>
      <w:r>
        <w:rPr>
          <w:rFonts w:cs="Times New Roman" w:ascii="Times New Roman" w:hAnsi="Times New Roman"/>
          <w:b/>
          <w:spacing w:val="-2"/>
          <w:sz w:val="23"/>
        </w:rPr>
      </w:r>
    </w:p>
    <w:p>
      <w:pPr>
        <w:pStyle w:val="Normal"/>
        <w:jc w:val="both"/>
        <w:rPr/>
      </w:pPr>
      <w:r>
        <w:rPr>
          <w:rFonts w:cs="Times New Roman" w:ascii="Times New Roman" w:hAnsi="Times New Roman"/>
          <w:spacing w:val="-2"/>
        </w:rPr>
        <w:tab/>
        <w:t>1.1</w:t>
      </w:r>
      <w:r>
        <w:rPr>
          <w:rFonts w:cs="Times New Roman" w:ascii="Times New Roman" w:hAnsi="Times New Roman"/>
        </w:rPr>
        <w:tab/>
      </w:r>
      <w:r>
        <w:rPr>
          <w:rFonts w:cs="Times New Roman" w:ascii="Times New Roman" w:hAnsi="Times New Roman"/>
          <w:u w:val="single"/>
        </w:rPr>
        <w:t>Enron Property</w:t>
      </w:r>
      <w:r>
        <w:rPr>
          <w:rFonts w:cs="Times New Roman" w:ascii="Times New Roman" w:hAnsi="Times New Roman"/>
        </w:rPr>
        <w:t xml:space="preserve">.  All written materials, records, data, and other documents prepared or possessed by </w:t>
      </w:r>
      <w:r>
        <w:rPr>
          <w:rFonts w:cs="Times New Roman" w:ascii="Times New Roman" w:hAnsi="Times New Roman"/>
          <w:lang w:val="en-CA" w:eastAsia="en-CA"/>
        </w:rPr>
        <w:t>Consultant</w:t>
      </w:r>
      <w:r>
        <w:rPr>
          <w:rFonts w:cs="Times New Roman" w:ascii="Times New Roman" w:hAnsi="Times New Roman"/>
        </w:rPr>
        <w:t xml:space="preserve"> before or during </w:t>
      </w:r>
      <w:r>
        <w:rPr>
          <w:rFonts w:cs="Times New Roman" w:ascii="Times New Roman" w:hAnsi="Times New Roman"/>
          <w:lang w:val="en-CA" w:eastAsia="en-CA"/>
        </w:rPr>
        <w:t>Consultant</w:t>
      </w:r>
      <w:r>
        <w:rPr>
          <w:rFonts w:cs="Times New Roman" w:ascii="Times New Roman" w:hAnsi="Times New Roman"/>
        </w:rPr>
        <w:t xml:space="preserve">’s employment by or relationship with Enron are Enron property.  All information, ideas, concepts, improvements, discoveries, and inventions that are conceived, made, developed, or acquired by </w:t>
      </w:r>
      <w:r>
        <w:rPr>
          <w:rFonts w:cs="Times New Roman" w:ascii="Times New Roman" w:hAnsi="Times New Roman"/>
          <w:lang w:val="en-CA" w:eastAsia="en-CA"/>
        </w:rPr>
        <w:t>Consultant</w:t>
      </w:r>
      <w:r>
        <w:rPr>
          <w:rFonts w:cs="Times New Roman" w:ascii="Times New Roman" w:hAnsi="Times New Roman"/>
        </w:rPr>
        <w:t xml:space="preserve"> individually or in conjunction with others during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(whether during business hours and whether on Enron’s premises or otherwise) which relate to Enron’s business, products, or services are Enron’s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Enron’s property.  At the termination of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for any reason, </w:t>
      </w:r>
      <w:r>
        <w:rPr>
          <w:rFonts w:cs="Times New Roman" w:ascii="Times New Roman" w:hAnsi="Times New Roman"/>
          <w:lang w:val="en-CA" w:eastAsia="en-CA"/>
        </w:rPr>
        <w:t>Consultant</w:t>
      </w:r>
      <w:r>
        <w:rPr>
          <w:rFonts w:cs="Times New Roman" w:ascii="Times New Roman" w:hAnsi="Times New Roman"/>
        </w:rPr>
        <w:t xml:space="preserve"> shall return all of Enron’s documents, data, or other Enron property to Enron.</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Confidential Information; Non-Disclosure</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acknowledges that the business of Enron and their affiliates is highly competitive and that Enron has provided and will provide </w:t>
      </w:r>
      <w:r>
        <w:rPr>
          <w:rFonts w:cs="Times New Roman" w:ascii="Times New Roman" w:hAnsi="Times New Roman"/>
          <w:lang w:val="en-CA" w:eastAsia="en-CA"/>
        </w:rPr>
        <w:t>Consultant</w:t>
      </w:r>
      <w:r>
        <w:rPr>
          <w:rFonts w:cs="Times New Roman" w:ascii="Times New Roman" w:hAnsi="Times New Roman"/>
        </w:rPr>
        <w:t xml:space="preserve"> with access to Confidential Information relating to the business of Enron and its affiliates.  “Confidential Information”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Enron’s internal operations;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used by Enron or its affiliates in their businesses to obtain a competitive advantage over their competitors.  </w:t>
      </w:r>
      <w:r>
        <w:rPr>
          <w:rFonts w:cs="Times New Roman" w:ascii="Times New Roman" w:hAnsi="Times New Roman"/>
          <w:lang w:val="en-CA" w:eastAsia="en-CA"/>
        </w:rPr>
        <w:t>Consultant</w:t>
      </w:r>
      <w:r>
        <w:rPr>
          <w:rFonts w:cs="Times New Roman" w:ascii="Times New Roman" w:hAnsi="Times New Roman"/>
        </w:rPr>
        <w:t xml:space="preserve"> further acknowledges that protection of such Confidential Information against unauthorized disclosure and use is of critical importance to Enron and its affiliates in maintaining their competitive position.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en-CA" w:eastAsia="en-CA"/>
        </w:rPr>
        <w:t>Consultant</w:t>
      </w:r>
      <w:r>
        <w:rPr>
          <w:rFonts w:cs="Times New Roman" w:ascii="Times New Roman" w:hAnsi="Times New Roman"/>
        </w:rPr>
        <w:t xml:space="preserve"> also may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Enron and its affiliates.</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lang w:val="en-CA" w:eastAsia="en-CA"/>
        </w:rPr>
        <w:t>Consultant</w:t>
      </w:r>
      <w:r>
        <w:rPr/>
        <w:t xml:space="preserve"> agrees that </w:t>
      </w:r>
      <w:r>
        <w:rPr>
          <w:lang w:val="en-CA" w:eastAsia="en-CA"/>
        </w:rPr>
        <w:t>Consultant</w:t>
      </w:r>
      <w:r>
        <w:rPr/>
        <w:t xml:space="preserve"> will not, at any time before, during, or after </w:t>
      </w:r>
      <w:r>
        <w:rPr>
          <w:lang w:val="en-CA" w:eastAsia="en-CA"/>
        </w:rPr>
        <w:t>Consultant</w:t>
      </w:r>
      <w:r>
        <w:rPr/>
        <w:t xml:space="preserve">’s employment or relationship with Enron, make any unauthorized disclosure of any Confidential Information of  Enron or its affiliates, or make any use thereof, except in the carrying out of his or her responsibilities or duties hereunder.  </w:t>
      </w:r>
      <w:r>
        <w:rPr>
          <w:lang w:val="en-CA" w:eastAsia="en-CA"/>
        </w:rPr>
        <w:t>Consultant</w:t>
      </w:r>
      <w:r>
        <w:rPr/>
        <w:t xml:space="preserve"> also agrees to preserve and protect the confidentiality of third party Confidential Information to the same extent, and on the same basis, as Enron’s Confidential Information.</w:t>
      </w:r>
    </w:p>
    <w:p>
      <w:pPr>
        <w:pStyle w:val="BodyText"/>
        <w:rPr/>
      </w:pPr>
      <w:r>
        <w:rPr/>
      </w:r>
    </w:p>
    <w:p>
      <w:pPr>
        <w:pStyle w:val="BodyText"/>
        <w:rPr/>
      </w:pPr>
      <w:r>
        <w:rPr/>
        <w:t xml:space="preserve">  </w:t>
      </w:r>
      <w:r>
        <w:rPr/>
        <w:tab/>
        <w:t>1.3</w:t>
        <w:tab/>
      </w:r>
      <w:r>
        <w:rPr>
          <w:u w:val="single"/>
        </w:rPr>
        <w:t>Termination</w:t>
      </w:r>
      <w:r>
        <w:rPr/>
        <w:t>.</w:t>
        <w:tab/>
        <w:t>This Agreement shall terminate on the date that is three years after the termination of Consultant’s employment or relationship with Enron.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2: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2.1</w:t>
        <w:tab/>
      </w:r>
      <w:r>
        <w:rPr>
          <w:rFonts w:cs="Times New Roman" w:ascii="Times New Roman" w:hAnsi="Times New Roman"/>
          <w:u w:val="single"/>
        </w:rPr>
        <w:t>Statements About Enron</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shall refrain, before, during, and after his or her employment or other type of relationship with Enron, from publishing any oral or written statements about  Enron, any of its respective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Notices</w:t>
      </w:r>
      <w:r>
        <w:rPr>
          <w:rFonts w:cs="Times New Roman" w:ascii="Times New Roman" w:hAnsi="Times New Roman"/>
        </w:rPr>
        <w:t>.  Notices and all other communications shall be in writing and shall be deemed to have been duly given when personally delivered or when mailed by United States registered or certified mail.  Notices to Enron shall be sent to:</w:t>
      </w:r>
      <w:r>
        <w:rPr>
          <w:rFonts w:cs="Times New Roman" w:ascii="Times New Roman" w:hAnsi="Times New Roman"/>
          <w:spacing w:val="-2"/>
        </w:rPr>
        <w:t xml:space="preserve"> Enron Midstream Services, L.L.C., 1400 Smith Street, Houston, Texas 77002,  Attention:  Corporate Secretary.  Notices and communications to </w:t>
      </w:r>
      <w:r>
        <w:rPr>
          <w:rFonts w:cs="Times New Roman" w:ascii="Times New Roman" w:hAnsi="Times New Roman"/>
          <w:spacing w:val="-2"/>
          <w:lang w:val="en-CA" w:eastAsia="en-CA"/>
        </w:rPr>
        <w:t>Consultant</w:t>
      </w:r>
      <w:r>
        <w:rPr>
          <w:rFonts w:cs="Times New Roman" w:ascii="Times New Roman" w:hAnsi="Times New Roman"/>
          <w:spacing w:val="-2"/>
        </w:rPr>
        <w:t xml:space="preserve"> shall be sent to the address Consultant most recently provided Enron.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2.3</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2.4</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2"/>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Enron and any other person, association, or entity that may acquire or succeed to all or substantially all of the business or assets of Enron.  </w:t>
      </w:r>
      <w:r>
        <w:rPr>
          <w:rFonts w:cs="Times New Roman" w:ascii="Times New Roman" w:hAnsi="Times New Roman"/>
          <w:lang w:val="en-CA" w:eastAsia="en-CA"/>
        </w:rPr>
        <w:t>Consultant</w:t>
      </w:r>
      <w:r>
        <w:rPr>
          <w:rFonts w:cs="Times New Roman" w:ascii="Times New Roman" w:hAnsi="Times New Roman"/>
        </w:rPr>
        <w:t>’s rights and obligations under this Agreement are personal, and they shall not be assigned or transferred.</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2"/>
        </w:rPr>
        <w:tab/>
        <w:t>2.6</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IN WITNESS WHEREOF, </w:t>
      </w:r>
      <w:r>
        <w:rPr>
          <w:rFonts w:cs="Times New Roman" w:ascii="Times New Roman" w:hAnsi="Times New Roman"/>
          <w:spacing w:val="-2"/>
          <w:lang w:val="en-CA" w:eastAsia="en-CA"/>
        </w:rPr>
        <w:t>Consultant</w:t>
      </w:r>
      <w:r>
        <w:rPr>
          <w:rFonts w:cs="Times New Roman" w:ascii="Times New Roman" w:hAnsi="Times New Roman"/>
          <w:spacing w:val="-2"/>
        </w:rPr>
        <w:t xml:space="preserve"> has executed this Agreement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50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ab/>
        <w:t>Consultant</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Suzanne Badeaux</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ab/>
        <w:tab/>
        <w:t>By:</w:t>
      </w:r>
      <w:r>
        <w:rPr>
          <w:rFonts w:cs="Times New Roman" w:ascii="Times New Roman" w:hAnsi="Times New Roman"/>
          <w:spacing w:val="-2"/>
          <w:u w:val="single"/>
        </w:rPr>
        <w:tab/>
        <w:tab/>
        <w:tab/>
        <w:tab/>
        <w:tab/>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This _____ day of ________________, 2000</w:t>
      </w:r>
    </w:p>
    <w:sectPr>
      <w:headerReference w:type="default" r:id="rId2"/>
      <w:footerReference w:type="default" r:id="rId3"/>
      <w:type w:val="nextPage"/>
      <w:pgSz w:w="12240" w:h="15840"/>
      <w:pgMar w:left="1152" w:right="1152" w:gutter="0" w:header="576"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FILENAME \p </w:instrText>
    </w:r>
    <w:r>
      <w:rPr>
        <w:sz w:val="14"/>
        <w:spacing w:val="-2"/>
        <w:rFonts w:cs="Times New Roman" w:ascii="Times New Roman" w:hAnsi="Times New Roman"/>
      </w:rPr>
      <w:fldChar w:fldCharType="separate"/>
    </w:r>
    <w:r>
      <w:rPr>
        <w:sz w:val="14"/>
        <w:spacing w:val="-2"/>
        <w:rFonts w:cs="Times New Roman" w:ascii="Times New Roman" w:hAnsi="Times New Roman"/>
      </w:rPr>
      <w:t>/mnt/main-storage/datasets/enron-docs/doc/Badeuxconf1.agmt..doc</w:t>
    </w:r>
    <w:r>
      <w:rPr>
        <w:sz w:val="14"/>
        <w:spacing w:val="-2"/>
        <w:rFonts w:cs="Times New Roman" w:ascii="Times New Roman" w:hAnsi="Times New Roman"/>
      </w:rPr>
      <w:fldChar w:fldCharType="end"/>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2</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Confidentiality Agreement</w:t>
    </w:r>
  </w:p>
  <w:p>
    <w:pPr>
      <w:pStyle w:val="Footer"/>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356"/>
      <w:rPr>
        <w:rFonts w:ascii="Times New Roman" w:hAnsi="Times New Roman" w:cs="Times New Roman"/>
        <w:b/>
        <w:sz w:val="10"/>
      </w:rPr>
    </w:pPr>
    <w:r>
      <w:rPr>
        <w:rFonts w:cs="Times New Roman" w:ascii="Times New Roman" w:hAnsi="Times New Roman"/>
        <w:b/>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Times New Roman" w:hAnsi="CG Times;Times New Roman" w:cs="CG Times;Times New Roman"/>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Times New Roman" w:hAnsi="CG Times;Times New Roman" w:cs="CG Times;Times New Roman"/>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Times New Roman" w:hAnsi="CG Times;Times New Roman" w:cs="CG Times;Times New Roman"/>
      <w:b/>
      <w:sz w:val="23"/>
      <w:lang w:val="en-US"/>
    </w:rPr>
  </w:style>
  <w:style w:type="character" w:styleId="HIGHLIGHT2">
    <w:name w:val="HIGHLIGHT 2"/>
    <w:basedOn w:val="DefaultParagraphFont"/>
    <w:qFormat/>
    <w:rPr>
      <w:rFonts w:ascii="CG Times;Times New Roman" w:hAnsi="CG Times;Times New Roman" w:cs="CG Times;Times New Roman"/>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Times New Roman" w:hAnsi="CG Times;Times New Roman" w:cs="CG Times;Times New Roman"/>
      <w:sz w:val="18"/>
      <w:lang w:val="en-US"/>
    </w:rPr>
  </w:style>
  <w:style w:type="character" w:styleId="DRAFTON">
    <w:name w:val="DRAFT ON"/>
    <w:basedOn w:val="DefaultParagraphFont"/>
    <w:qFormat/>
    <w:rPr>
      <w:rFonts w:ascii="CG Times;Times New Roman" w:hAnsi="CG Times;Times New Roman" w:cs="CG Times;Times New Roman"/>
      <w:sz w:val="23"/>
      <w:lang w:val="en-US"/>
    </w:rPr>
  </w:style>
  <w:style w:type="character" w:styleId="DRAFTOFF">
    <w:name w:val="DRAFT OFF"/>
    <w:basedOn w:val="DefaultParagraphFont"/>
    <w:qFormat/>
    <w:rPr/>
  </w:style>
  <w:style w:type="character" w:styleId="HEADER1">
    <w:name w:val="HEADER1"/>
    <w:basedOn w:val="DefaultParagraphFont"/>
    <w:qFormat/>
    <w:rPr>
      <w:rFonts w:ascii="CG Times;Times New Roman" w:hAnsi="CG Times;Times New Roman" w:cs="CG Times;Times New Roman"/>
      <w:sz w:val="23"/>
      <w:lang w:val="en-US"/>
    </w:rPr>
  </w:style>
  <w:style w:type="character" w:styleId="LETTERLAND">
    <w:name w:val="LETTER LAND"/>
    <w:basedOn w:val="DefaultParagraphFont"/>
    <w:qFormat/>
    <w:rPr>
      <w:rFonts w:ascii="CG Times;Times New Roman" w:hAnsi="CG Times;Times New Roman" w:cs="CG Times;Times New Roman"/>
      <w:sz w:val="23"/>
      <w:lang w:val="en-US"/>
    </w:rPr>
  </w:style>
  <w:style w:type="character" w:styleId="LEGALLAND">
    <w:name w:val="LEGAL LAND"/>
    <w:basedOn w:val="DefaultParagraphFont"/>
    <w:qFormat/>
    <w:rPr>
      <w:rFonts w:ascii="CG Times;Times New Roman" w:hAnsi="CG Times;Times New Roman" w:cs="CG Times;Times New Roman"/>
      <w:sz w:val="23"/>
      <w:lang w:val="en-US"/>
    </w:rPr>
  </w:style>
  <w:style w:type="character" w:styleId="LETTERPORT">
    <w:name w:val="LETTER PORT"/>
    <w:basedOn w:val="DefaultParagraphFont"/>
    <w:qFormat/>
    <w:rPr>
      <w:rFonts w:ascii="CG Times;Times New Roman" w:hAnsi="CG Times;Times New Roman" w:cs="CG Times;Times New Roman"/>
      <w:sz w:val="23"/>
      <w:lang w:val="en-US"/>
    </w:rPr>
  </w:style>
  <w:style w:type="character" w:styleId="LEGALPORT">
    <w:name w:val="LEGAL PORT"/>
    <w:basedOn w:val="DefaultParagraphFont"/>
    <w:qFormat/>
    <w:rPr>
      <w:rFonts w:ascii="CG Times;Times New Roman" w:hAnsi="CG Times;Times New Roman" w:cs="CG Times;Times New Roman"/>
      <w:sz w:val="23"/>
      <w:lang w:val="en-US"/>
    </w:rPr>
  </w:style>
  <w:style w:type="character" w:styleId="FOOTER1">
    <w:name w:val="FOOTER1"/>
    <w:basedOn w:val="DefaultParagraphFont"/>
    <w:qFormat/>
    <w:rPr>
      <w:rFonts w:ascii="CG Times;Times New Roman" w:hAnsi="CG Times;Times New Roman" w:cs="CG Times;Times New Roman"/>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Times New Roman" w:hAnsi="CG Times;Times New Roman" w:cs="CG Times;Times New Roman"/>
      <w:sz w:val="23"/>
      <w:lang w:val="en-US"/>
    </w:rPr>
  </w:style>
  <w:style w:type="character" w:styleId="NORMAL1">
    <w:name w:val="NORMAL1"/>
    <w:basedOn w:val="DefaultParagraphFont"/>
    <w:qFormat/>
    <w:rPr>
      <w:rFonts w:ascii="CG Times;Times New Roman" w:hAnsi="CG Times;Times New Roman" w:cs="CG Times;Times New Roman"/>
      <w:sz w:val="23"/>
      <w:lang w:val="en-US"/>
    </w:rPr>
  </w:style>
  <w:style w:type="character" w:styleId="SMALL">
    <w:name w:val="SMALL"/>
    <w:basedOn w:val="DefaultParagraphFont"/>
    <w:qFormat/>
    <w:rPr>
      <w:rFonts w:ascii="CG Times;Times New Roman" w:hAnsi="CG Times;Times New Roman" w:cs="CG Times;Times New Roman"/>
      <w:sz w:val="18"/>
      <w:lang w:val="en-US"/>
    </w:rPr>
  </w:style>
  <w:style w:type="character" w:styleId="FINE">
    <w:name w:val="FINE"/>
    <w:basedOn w:val="DefaultParagraphFont"/>
    <w:qFormat/>
    <w:rPr>
      <w:rFonts w:ascii="CG Times;Times New Roman" w:hAnsi="CG Times;Times New Roman" w:cs="CG Times;Times New Roman"/>
      <w:sz w:val="14"/>
      <w:lang w:val="en-US"/>
    </w:rPr>
  </w:style>
  <w:style w:type="character" w:styleId="LARGE">
    <w:name w:val="LARGE"/>
    <w:basedOn w:val="DefaultParagraphFont"/>
    <w:qFormat/>
    <w:rPr>
      <w:rFonts w:ascii="CG Times;Times New Roman" w:hAnsi="CG Times;Times New Roman" w:cs="CG Times;Times New Roman"/>
      <w:sz w:val="28"/>
      <w:lang w:val="en-US"/>
    </w:rPr>
  </w:style>
  <w:style w:type="character" w:styleId="EXTRALARGE">
    <w:name w:val="EXTRA LARGE"/>
    <w:basedOn w:val="DefaultParagraphFont"/>
    <w:qFormat/>
    <w:rPr>
      <w:rFonts w:ascii="CG Times;Times New Roman" w:hAnsi="CG Times;Times New Roman" w:cs="CG Times;Times New Roman"/>
      <w:sz w:val="46"/>
      <w:lang w:val="en-US"/>
    </w:rPr>
  </w:style>
  <w:style w:type="character" w:styleId="VERYLARGE">
    <w:name w:val="VERY LARGE"/>
    <w:basedOn w:val="DefaultParagraphFont"/>
    <w:qFormat/>
    <w:rPr>
      <w:rFonts w:ascii="CG Times;Times New Roman" w:hAnsi="CG Times;Times New Roman" w:cs="CG Times;Times New Roman"/>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Times New Roman" w:hAnsi="CG Times;Times New Roman" w:eastAsia="Times New Roman" w:cs="CG Times;Times New Roman"/>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2000-08-23T17:34:00Z</dcterms:created>
  <dc:creator>Enron</dc:creator>
  <dc:description/>
  <dc:language>en-CA</dc:language>
  <cp:lastModifiedBy>gnemec</cp:lastModifiedBy>
  <cp:lastPrinted>2000-08-22T09:41:00Z</cp:lastPrinted>
  <dcterms:modified xsi:type="dcterms:W3CDTF">2000-08-23T17:34:00Z</dcterms:modified>
  <cp:revision>2</cp:revision>
  <dc:subject/>
  <dc:title>	EXECUTIVE EMPLOYMENT AGREEMENT</dc:title>
</cp:coreProperties>
</file>