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w:t>
      </w:r>
      <w:r>
        <w:rPr>
          <w:b/>
          <w:bCs/>
        </w:rPr>
        <w:t>Suzanne Badeaux</w:t>
      </w:r>
      <w:r>
        <w:rPr>
          <w:rFonts w:cs="Times New Roman" w:ascii="Times New Roman" w:hAnsi="Times New Roman"/>
          <w:spacing w:val="-2"/>
        </w:rPr>
        <w:t xml:space="preserve"> (“Consultant”) for the benefit of </w:t>
      </w:r>
      <w:r>
        <w:rPr>
          <w:rFonts w:cs="Times New Roman" w:ascii="Times New Roman" w:hAnsi="Times New Roman"/>
          <w:b/>
          <w:spacing w:val="-2"/>
        </w:rPr>
        <w:t>Enron Midstream Services, L.L.C.</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Midstream Services, L.L.C.,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Suzanne Badeaux</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/mnt/main-storage/datasets/enron-docs/doc/Badeuxconf.agmt..doc</w:t>
    </w:r>
    <w:r>
      <w:rPr>
        <w:sz w:val="14"/>
        <w:spacing w:val="-2"/>
        <w:rFonts w:cs="Times New Roman" w:ascii="Times New Roman" w:hAnsi="Times New Roman"/>
      </w:rPr>
      <w:fldChar w:fldCharType="end"/>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2000-08-22T12:18:00Z</dcterms:created>
  <dc:creator>Enron</dc:creator>
  <dc:description/>
  <dc:language>en-CA</dc:language>
  <cp:lastModifiedBy>gnemec</cp:lastModifiedBy>
  <cp:lastPrinted>2000-08-22T09:41:00Z</cp:lastPrinted>
  <dcterms:modified xsi:type="dcterms:W3CDTF">2000-08-22T12:22:00Z</dcterms:modified>
  <cp:revision>3</cp:revision>
  <dc:subject/>
  <dc:title>	EXECUTIVE EMPLOYMENT AGREEMENT</dc:title>
</cp:coreProperties>
</file>