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Cs/>
        </w:rPr>
      </w:pPr>
      <w:r>
        <w:rPr>
          <w:bCs/>
        </w:rPr>
        <w:t>CONSULTING SERVICES AGREEMENT</w:t>
      </w:r>
    </w:p>
    <w:p>
      <w:pPr>
        <w:pStyle w:val="Normal"/>
        <w:tabs>
          <w:tab w:val="clear" w:pos="720"/>
          <w:tab w:val="left" w:pos="-720" w:leader="none"/>
        </w:tabs>
        <w:suppressAutoHyphens w:val="true"/>
        <w:jc w:val="both"/>
        <w:rPr>
          <w:rFonts w:ascii="Times New Roman" w:hAnsi="Times New Roman" w:cs="Times New Roman"/>
          <w:bCs/>
          <w:spacing w:val="-2"/>
          <w:sz w:val="24"/>
        </w:rPr>
      </w:pPr>
      <w:r>
        <w:rPr>
          <w:rFonts w:cs="Times New Roman" w:ascii="Times New Roman" w:hAnsi="Times New Roman"/>
          <w:bCs/>
          <w:spacing w:val="-2"/>
          <w:sz w:val="24"/>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bCs/>
          <w:sz w:val="24"/>
          <w:lang w:val="en-CA" w:eastAsia="en-CA"/>
        </w:rPr>
        <w:t>Enron</w:t>
      </w:r>
      <w:r>
        <w:rPr>
          <w:rFonts w:cs="Times New Roman" w:ascii="Times New Roman" w:hAnsi="Times New Roman"/>
          <w:sz w:val="24"/>
          <w:lang w:val="en-CA" w:eastAsia="en-CA"/>
        </w:rPr>
        <w:t xml:space="preserve"> </w:t>
      </w:r>
      <w:r>
        <w:rPr>
          <w:rFonts w:cs="Times New Roman" w:ascii="Times New Roman" w:hAnsi="Times New Roman"/>
          <w:b/>
          <w:bCs/>
          <w:sz w:val="24"/>
          <w:lang w:val="en-CA" w:eastAsia="en-CA"/>
        </w:rPr>
        <w:t>Midstream Services, L.L.C.</w:t>
      </w:r>
      <w:r>
        <w:rPr>
          <w:rFonts w:cs="Times New Roman" w:ascii="Times New Roman" w:hAnsi="Times New Roman"/>
          <w:sz w:val="24"/>
        </w:rPr>
        <w:t>, its affiliates, officers, directors, employees, and representatives,</w:t>
      </w:r>
      <w:r>
        <w:rPr>
          <w:rFonts w:cs="Times New Roman" w:ascii="Times New Roman" w:hAnsi="Times New Roman"/>
          <w:smallCaps/>
          <w:sz w:val="24"/>
        </w:rPr>
        <w:t xml:space="preserve"> </w:t>
      </w:r>
      <w:r>
        <w:rPr>
          <w:rFonts w:cs="Times New Roman" w:ascii="Times New Roman" w:hAnsi="Times New Roman"/>
          <w:spacing w:val="-3"/>
          <w:sz w:val="24"/>
        </w:rPr>
        <w:t xml:space="preserve">having offices at 1400 Smith Street, Houston, Texas 77002 (“Company”), and </w:t>
      </w:r>
      <w:r>
        <w:rPr>
          <w:rFonts w:cs="Times New Roman" w:ascii="Times New Roman" w:hAnsi="Times New Roman"/>
          <w:b/>
          <w:bCs/>
          <w:sz w:val="24"/>
          <w:lang w:val="en-CA" w:eastAsia="en-CA"/>
        </w:rPr>
        <w:t>MTM Temps</w:t>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lang w:val="en-CA" w:eastAsia="en-CA"/>
        </w:rPr>
        <w:t>310 South Miller, Suite B, Gillette, Wyoming 82716</w:t>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a 12-month period commencing on  June 1, 2000.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providing administrative, clerical, and secretarial skills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Eleven and 75/100 Dollars ($11.75) per hour for Services provided by Suzanne Badeaux.</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rFonts w:cs="Times New Roman" w:ascii="Times New Roman" w:hAnsi="Times New Roman"/>
          <w:sz w:val="24"/>
        </w:rPr>
        <w:t xml:space="preserve"> 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b/>
          <w:bCs/>
        </w:rPr>
      </w:pPr>
      <w:r>
        <w:rPr>
          <w:b/>
          <w:bCs/>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bCs/>
          <w:spacing w:val="-3"/>
          <w:sz w:val="24"/>
        </w:rPr>
        <w:t>7.</w:t>
        <w:tab/>
      </w:r>
      <w:r>
        <w:rPr>
          <w:rFonts w:cs="Times New Roman" w:ascii="Times New Roman" w:hAnsi="Times New Roman"/>
          <w:b/>
          <w:bCs/>
          <w:spacing w:val="-3"/>
          <w:sz w:val="24"/>
          <w:u w:val="single"/>
        </w:rPr>
        <w:t>Indemnification</w:t>
      </w:r>
      <w:r>
        <w:rPr>
          <w:rFonts w:cs="Times New Roman" w:ascii="Times New Roman" w:hAnsi="Times New Roman"/>
          <w:b/>
          <w:bCs/>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5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pPr>
      <w:r>
        <w:rPr>
          <w:rFonts w:cs="Times New Roman" w:ascii="Times New Roman" w:hAnsi="Times New Roman"/>
          <w:b/>
          <w:bCs/>
          <w:spacing w:val="-3"/>
          <w:sz w:val="24"/>
          <w:lang w:val="en-CA" w:eastAsia="en-CA"/>
        </w:rPr>
        <w:t>MTM Temps</w:t>
      </w:r>
      <w:r>
        <w:rPr>
          <w:rFonts w:cs="Times New Roman" w:ascii="Times New Roman" w:hAnsi="Times New Roman"/>
          <w:b/>
          <w:bCs/>
          <w:spacing w:val="-3"/>
          <w:sz w:val="24"/>
        </w:rPr>
        <w:tab/>
        <w:tab/>
        <w:tab/>
        <w:t>Enron North America Corp.,</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t>Managing Member of</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r>
      <w:r>
        <w:rPr>
          <w:rFonts w:cs="Times New Roman" w:ascii="Times New Roman" w:hAnsi="Times New Roman"/>
          <w:b/>
          <w:bCs/>
          <w:spacing w:val="-3"/>
          <w:sz w:val="24"/>
          <w:lang w:val="en-CA" w:eastAsia="en-CA"/>
        </w:rPr>
        <w:t>Enron Midstream Services, L.L.C.</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bCs/>
          <w:smallCaps/>
          <w:spacing w:val="-3"/>
          <w:sz w:val="24"/>
        </w:rPr>
      </w:pPr>
      <w:r>
        <w:rPr>
          <w:rFonts w:cs="Times New Roman" w:ascii="Times New Roman" w:hAnsi="Times New Roman"/>
          <w:b/>
          <w:bCs/>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p>
      <w:pPr>
        <w:sectPr>
          <w:headerReference w:type="default" r:id="rId2"/>
          <w:footerReference w:type="default" r:id="rId3"/>
          <w:type w:val="nextPage"/>
          <w:pgSz w:w="12240" w:h="15840"/>
          <w:pgMar w:left="1440" w:right="1260" w:gutter="0" w:header="432" w:top="1152" w:footer="432" w:bottom="1152"/>
          <w:pgNumType w:start="1" w:fmt="decimal"/>
          <w:formProt w:val="false"/>
          <w:textDirection w:val="lrTb"/>
          <w:docGrid w:type="default" w:linePitch="360" w:charSpace="0"/>
        </w:sectPr>
      </w:pP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type w:val="continuous"/>
      <w:pgSz w:w="12240" w:h="15840"/>
      <w:pgMar w:left="1440" w:right="1260" w:gutter="0" w:header="432" w:top="1152" w:footer="432"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lang w:val="en-CA" w:eastAsia="en-CA"/>
      </w:rPr>
      <w:t>3513mhc.doc</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018/rev.3/00</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9270" w:leader="none"/>
      </w:tabs>
      <w:rPr/>
    </w:pPr>
    <w:r>
      <w:rPr/>
      <w:tab/>
    </w:r>
    <w:r>
      <w:rPr>
        <w:rFonts w:cs="Times New Roman" w:ascii="Times New Roman" w:hAnsi="Times New Roman"/>
        <w:b/>
      </w:rPr>
      <w:t>8/2/00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2000-08-21T17:25:00Z</dcterms:created>
  <dc:creator>Enron</dc:creator>
  <dc:description/>
  <dc:language>en-CA</dc:language>
  <cp:lastModifiedBy>gnemec</cp:lastModifiedBy>
  <cp:lastPrinted>2000-08-02T15:06:00Z</cp:lastPrinted>
  <dcterms:modified xsi:type="dcterms:W3CDTF">2000-08-21T17:25:00Z</dcterms:modified>
  <cp:revision>2</cp:revision>
  <dc:subject/>
  <dc:title>CONSULTING SERVICES AGREEMENT</dc:title>
</cp:coreProperties>
</file>