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360"/>
        <w:ind w:hanging="0" w:start="0"/>
        <w:rPr/>
      </w:pPr>
      <w:r>
        <w:rPr/>
        <w:t xml:space="preserve">Backtesting Implementation </w:t>
      </w:r>
    </w:p>
    <w:p>
      <w:pPr>
        <w:pStyle w:val="Normal"/>
        <w:spacing w:lineRule="auto" w:line="360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  <w:u w:val="single"/>
        </w:rPr>
      </w:pPr>
      <w:r>
        <w:rPr>
          <w:sz w:val="24"/>
        </w:rPr>
        <w:t>Two methods are common in assessing the accuracy of VaR models.  The first is based on a method proposed by Paul Kupiec of the Federal Reserve</w:t>
      </w:r>
      <w:r>
        <w:rPr>
          <w:sz w:val="24"/>
          <w:vertAlign w:val="superscript"/>
        </w:rPr>
        <w:t xml:space="preserve"> </w:t>
      </w:r>
      <w:r>
        <w:rPr>
          <w:i/>
          <w:sz w:val="24"/>
        </w:rPr>
        <w:t>(“Techniques for Verifying the Accuracy of Risk Measurement Models</w:t>
      </w:r>
      <w:r>
        <w:rPr>
          <w:sz w:val="24"/>
        </w:rPr>
        <w:t xml:space="preserve">,” </w:t>
      </w:r>
      <w:r>
        <w:rPr>
          <w:sz w:val="24"/>
          <w:u w:val="single"/>
        </w:rPr>
        <w:t>Journal of Derivatives</w:t>
      </w:r>
      <w:r>
        <w:rPr>
          <w:sz w:val="24"/>
        </w:rPr>
        <w:t xml:space="preserve">, 3, 73-84 (1995)) under the assumption that the probability of observing an exception in a sample of size T is a Binomial distribution.  The second methodology is based on an interval forecasting technique, which explicitly accounts for the possibility of serial correlation between time series </w:t>
      </w:r>
      <w:r>
        <w:rPr>
          <w:i/>
          <w:sz w:val="24"/>
        </w:rPr>
        <w:t>(“Estimating Interval Forecasts</w:t>
      </w:r>
      <w:r>
        <w:rPr>
          <w:sz w:val="24"/>
        </w:rPr>
        <w:t xml:space="preserve">,” Christofferson, Wharton Financial Institutions Paper, 96-51).   It should be said that no one test is the “best” one, and in fact, the power of these tests could break down depending on sample size, actual price movements, etc.  </w:t>
      </w:r>
    </w:p>
    <w:p>
      <w:pPr>
        <w:pStyle w:val="Normal"/>
        <w:spacing w:lineRule="auto" w:line="36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I. 1 Hypothesis Testing in the Binomial Framework:</w:t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Heading2"/>
        <w:ind w:hanging="0" w:start="0"/>
        <w:jc w:val="both"/>
        <w:rPr/>
      </w:pPr>
      <w:r>
        <w:rPr/>
        <w:t>The probability of observing x failures, regardless of order in a sample of size n is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 xml:space="preserve"> </w:t>
      </w:r>
      <w:r>
        <w:rPr>
          <w:sz w:val="24"/>
        </w:rPr>
        <w:tab/>
        <w:tab/>
        <w:tab/>
      </w:r>
      <w:r>
        <w:rPr>
          <w:sz w:val="24"/>
        </w:rPr>
      </w:r>
      <m:oMath xmlns:m="http://schemas.openxmlformats.org/officeDocument/2006/math">
        <m:r>
          <m:t xml:space="preserve">B</m:t>
        </m:r>
        <m:r>
          <m:t xml:space="preserve">(</m:t>
        </m:r>
        <m:r>
          <m:rPr>
            <m:lit/>
            <m:nor/>
          </m:rPr>
          <m:t xml:space="preserve">n,x</m:t>
        </m:r>
        <m:r>
          <m:t xml:space="preserve">)</m:t>
        </m:r>
        <m:r>
          <m:t xml:space="preserve">=</m:t>
        </m:r>
        <m:r>
          <m:t xml:space="preserve">(</m:t>
        </m:r>
        <m:r>
          <m:rPr>
            <m:lit/>
            <m:nor/>
          </m:rPr>
          <m:t xml:space="preserve">n,x</m:t>
        </m:r>
        <m:r>
          <m:t xml:space="preserve">)</m:t>
        </m:r>
        <m:r>
          <m:t xml:space="preserve">(</m:t>
        </m:r>
        <m:r>
          <m:rPr>
            <m:lit/>
            <m:nor/>
          </m:rPr>
          <m:t xml:space="preserve">1 - p</m:t>
        </m:r>
        <m:sSup>
          <m:e>
            <m:r>
              <m:t xml:space="preserve">)</m:t>
            </m:r>
          </m:e>
          <m:sup>
            <m:r>
              <m:rPr>
                <m:lit/>
                <m:nor/>
              </m:rPr>
              <m:t xml:space="preserve">n-x</m:t>
            </m:r>
          </m:sup>
        </m:sSup>
        <m:sSup>
          <m:e>
            <m:r>
              <m:t xml:space="preserve">p</m:t>
            </m:r>
          </m:e>
          <m:sup>
            <m:r>
              <m:t xml:space="preserve">x</m:t>
            </m:r>
          </m:sup>
        </m:sSup>
      </m:oMath>
      <w:r>
        <w:rPr>
          <w:sz w:val="24"/>
        </w:rPr>
        <w:tab/>
        <w:tab/>
        <w:tab/>
        <w:tab/>
        <w:tab/>
        <w:t xml:space="preserve">       (1)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where (n,x) is the combinatorial binomial coefficient, and p is the probability of           observing a particular exception.  In our null hypothesis case, p = p* = .05.  The (log) likelihood ratio of such a scenario is given by the following expression [the likelihood ratio is defined as the ratio between likelihood function assuming the null hypothesis to that for the alternative (p* n.e to .05]: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       </w:t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 xml:space="preserve"> </w:t>
      </w:r>
      <w:r>
        <w:rPr>
          <w:sz w:val="24"/>
        </w:rPr>
      </w:r>
      <m:oMath xmlns:m="http://schemas.openxmlformats.org/officeDocument/2006/math">
        <m:sSub>
          <m:e>
            <m:r>
              <m:rPr>
                <m:lit/>
                <m:nor/>
              </m:rPr>
              <m:t xml:space="preserve">LR</m:t>
            </m:r>
          </m:e>
          <m:sub>
            <m:r>
              <m:rPr>
                <m:lit/>
                <m:nor/>
              </m:rPr>
              <m:t xml:space="preserve">uc</m:t>
            </m:r>
          </m:sub>
        </m:sSub>
        <m:r>
          <m:t xml:space="preserve">=</m:t>
        </m:r>
        <m:r>
          <m:t xml:space="preserve"> </m:t>
        </m:r>
        <m:r>
          <m:t xml:space="preserve">−</m:t>
        </m:r>
        <m:r>
          <m:t xml:space="preserve">2</m:t>
        </m:r>
        <m:r>
          <m:rPr>
            <m:lit/>
            <m:nor/>
          </m:rPr>
          <m:t xml:space="preserve">log</m:t>
        </m:r>
        <m:r>
          <m:t xml:space="preserve">[</m:t>
        </m:r>
        <m:r>
          <m:t xml:space="preserve">(</m:t>
        </m:r>
        <m:r>
          <m:t xml:space="preserve">1</m:t>
        </m:r>
        <m:r>
          <m:t xml:space="preserve">−</m:t>
        </m:r>
        <m:r>
          <m:rPr>
            <m:lit/>
            <m:nor/>
          </m:rPr>
          <m:t xml:space="preserve"> p*</m:t>
        </m:r>
        <m:sSup>
          <m:e>
            <m:r>
              <m:t xml:space="preserve">)</m:t>
            </m:r>
          </m:e>
          <m:sup>
            <m:r>
              <m:rPr>
                <m:lit/>
                <m:nor/>
              </m:rPr>
              <m:t xml:space="preserve">n-x</m:t>
            </m:r>
          </m:sup>
        </m:sSup>
        <m:r>
          <m:t xml:space="preserve">(</m:t>
        </m:r>
        <m:r>
          <m:rPr>
            <m:lit/>
            <m:nor/>
          </m:rPr>
          <m:t xml:space="preserve">p*</m:t>
        </m:r>
        <m:sSup>
          <m:e>
            <m:r>
              <m:t xml:space="preserve">)</m:t>
            </m:r>
          </m:e>
          <m:sup>
            <m:r>
              <m:t xml:space="preserve">x</m:t>
            </m:r>
          </m:sup>
        </m:sSup>
        <m:r>
          <m:t xml:space="preserve">]</m:t>
        </m:r>
        <m:r>
          <m:t xml:space="preserve"> </m:t>
        </m:r>
        <m:r>
          <m:t xml:space="preserve">+</m:t>
        </m:r>
        <m:r>
          <m:t xml:space="preserve"> </m:t>
        </m:r>
        <m:r>
          <m:t xml:space="preserve">2</m:t>
        </m:r>
        <m:r>
          <m:rPr>
            <m:lit/>
            <m:nor/>
          </m:rPr>
          <m:t xml:space="preserve">log</m:t>
        </m:r>
        <m:r>
          <m:t xml:space="preserve">[</m:t>
        </m:r>
        <m:r>
          <m:t xml:space="preserve">(</m:t>
        </m:r>
        <m:r>
          <m:t xml:space="preserve">1</m:t>
        </m:r>
        <m:r>
          <m:t xml:space="preserve">−</m:t>
        </m:r>
        <m:r>
          <m:t xml:space="preserve">[</m:t>
        </m:r>
        <m:r>
          <m:rPr>
            <m:lit/>
            <m:nor/>
          </m:rPr>
          <m:t xml:space="preserve">x/n</m:t>
        </m:r>
        <m:r>
          <m:t xml:space="preserve">]</m:t>
        </m:r>
        <m:sSup>
          <m:e>
            <m:r>
              <m:t xml:space="preserve">)</m:t>
            </m:r>
          </m:e>
          <m:sup>
            <m:r>
              <m:t xml:space="preserve">n</m:t>
            </m:r>
            <m:r>
              <m:t xml:space="preserve">=</m:t>
            </m:r>
            <m:r>
              <m:t xml:space="preserve">x</m:t>
            </m:r>
          </m:sup>
        </m:sSup>
        <m:r>
          <m:t xml:space="preserve">(</m:t>
        </m:r>
        <m:f>
          <m:fPr>
            <m:type m:val="lin"/>
          </m:fPr>
          <m:num>
            <m:r>
              <m:t xml:space="preserve">x</m:t>
            </m:r>
          </m:num>
          <m:den>
            <m:r>
              <m:t xml:space="preserve">n</m:t>
            </m:r>
          </m:den>
        </m:f>
        <m:sSup>
          <m:e>
            <m:r>
              <m:t xml:space="preserve">)</m:t>
            </m:r>
          </m:e>
          <m:sup>
            <m:r>
              <m:t xml:space="preserve">x</m:t>
            </m:r>
          </m:sup>
        </m:sSup>
        <m:r>
          <m:t xml:space="preserve">]</m:t>
        </m:r>
      </m:oMath>
      <w:r>
        <w:rPr>
          <w:sz w:val="24"/>
        </w:rPr>
        <w:t xml:space="preserve">    </w:t>
      </w:r>
      <w:r>
        <w:rPr>
          <w:sz w:val="24"/>
        </w:rPr>
        <w:tab/>
        <w:tab/>
        <w:tab/>
        <w:t xml:space="preserve">       (2)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 xml:space="preserve">This “test-statistic” is distributed as a  </w:t>
      </w:r>
      <w:r>
        <w:rPr>
          <w:rFonts w:cs="Symbol" w:ascii="Symbol" w:hAnsi="Symbol"/>
          <w:sz w:val="24"/>
        </w:rPr>
        <w:sym w:font="Symbol" w:char="f063"/>
      </w:r>
      <w:r>
        <w:rPr>
          <w:rFonts w:cs="Symbol" w:ascii="Symbol" w:hAnsi="Symbol"/>
          <w:sz w:val="24"/>
          <w:vertAlign w:val="superscript"/>
        </w:rPr>
        <w:sym w:font="Symbol" w:char="f032"/>
      </w:r>
      <w:r>
        <w:rPr>
          <w:rFonts w:cs="Symbol" w:ascii="Symbol" w:hAnsi="Symbol"/>
          <w:sz w:val="24"/>
        </w:rPr>
        <w:sym w:font="Symbol" w:char="f020"/>
      </w:r>
      <w:r>
        <w:rPr>
          <w:sz w:val="24"/>
        </w:rPr>
        <w:t>distribution with one degree of freedom.  The subscript ‘uc’ denotes this test statistic is based on unconditional coverage (no serial dependence between the elements of the time series).</w:t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I. 2 Implementation of this procedure:</w:t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sz w:val="24"/>
        </w:rPr>
      </w:pPr>
      <w:r>
        <w:rPr>
          <w:sz w:val="24"/>
        </w:rPr>
        <w:t>Select a reasonable interval of time (say, n= 255) or greater.  Make sure that the P/L calculation and the VaR numbers are comparable (take care of shifts in the database).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sz w:val="24"/>
        </w:rPr>
      </w:pPr>
      <w:r>
        <w:rPr>
          <w:sz w:val="24"/>
        </w:rPr>
        <w:t>Take Care of 0s, erroneous numbers, etc.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sz w:val="24"/>
        </w:rPr>
      </w:pPr>
      <w:r>
        <w:rPr>
          <w:sz w:val="24"/>
        </w:rPr>
        <w:t xml:space="preserve">For a given n, numerically solve for the x-ranges where the test-statistic (Eq. 2) is within the bounds of the inverse of the chi-squared distribution (1 df = 3.8415).  </w:t>
      </w:r>
    </w:p>
    <w:p>
      <w:pPr>
        <w:pStyle w:val="Normal"/>
        <w:numPr>
          <w:ilvl w:val="0"/>
          <w:numId w:val="6"/>
        </w:numPr>
        <w:spacing w:lineRule="auto" w:line="360"/>
        <w:jc w:val="both"/>
        <w:rPr>
          <w:sz w:val="24"/>
        </w:rPr>
      </w:pPr>
      <w:r>
        <w:rPr>
          <w:sz w:val="24"/>
        </w:rPr>
        <w:t>Compare the actual number of exceptions to your range obtained in step 3.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II.1 Interval Forecasting Methods:</w:t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>The LR</w:t>
      </w:r>
      <w:r>
        <w:rPr>
          <w:sz w:val="24"/>
          <w:vertAlign w:val="subscript"/>
        </w:rPr>
        <w:t>uc</w:t>
      </w:r>
      <w:r>
        <w:rPr>
          <w:sz w:val="24"/>
        </w:rPr>
        <w:t xml:space="preserve"> test is an unconditional test since it simply counts the exceptions over the entire period.  However, in the presence of time-dependent phenomenon (serial correlations, time-dependent volatility), the conditional accuracy of interval forecasts is an important issue.  The LR</w:t>
      </w:r>
      <w:r>
        <w:rPr>
          <w:sz w:val="24"/>
          <w:vertAlign w:val="subscript"/>
        </w:rPr>
        <w:t xml:space="preserve">cc </w:t>
      </w:r>
      <w:r>
        <w:rPr>
          <w:sz w:val="24"/>
        </w:rPr>
        <w:t>test is a test of conditional coverage.  Given a set of VaR estimates, an indicator function is defined as</w:t>
      </w:r>
    </w:p>
    <w:p>
      <w:pPr>
        <w:pStyle w:val="Normal"/>
        <w:spacing w:lineRule="auto" w:line="360"/>
        <w:ind w:firstLine="720" w:start="1440" w:end="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ind w:firstLine="720" w:start="1440" w:end="0"/>
        <w:jc w:val="both"/>
        <w:rPr/>
      </w:pPr>
      <w:r>
        <w:rPr>
          <w:sz w:val="24"/>
        </w:rPr>
      </w:r>
      <m:oMath xmlns:m="http://schemas.openxmlformats.org/officeDocument/2006/math">
        <m:eqArr>
          <m:e>
            <m:sSub>
              <m:e>
                <m:r>
                  <m:t xml:space="preserve">I</m:t>
                </m:r>
              </m:e>
              <m:sub>
                <m:r>
                  <m:rPr>
                    <m:lit/>
                    <m:nor/>
                  </m:rPr>
                  <m:t xml:space="preserve">mt </m:t>
                </m:r>
                <m:r>
                  <m:t xml:space="preserve">+</m:t>
                </m:r>
                <m:r>
                  <m:t xml:space="preserve">1</m:t>
                </m:r>
              </m:sub>
            </m:sSub>
            <m:r>
              <m:t xml:space="preserve"> </m:t>
            </m:r>
            <m:r>
              <m:t xml:space="preserve">=</m:t>
            </m:r>
            <m:r>
              <m:t xml:space="preserve"> </m:t>
            </m:r>
            <m:r>
              <m:t xml:space="preserve">1</m:t>
            </m:r>
            <m:r>
              <m:t xml:space="preserve"> </m:t>
            </m:r>
            <m:r>
              <m:rPr>
                <m:lit/>
                <m:nor/>
              </m:rPr>
              <m:t xml:space="preserve">if P/L exceeds VaR</m:t>
            </m:r>
          </m:e>
          <m:e>
            <m:r>
              <m:rPr>
                <m:lit/>
                <m:nor/>
              </m:rPr>
              <m:t xml:space="preserve">         </m:t>
            </m:r>
            <m:r>
              <m:t xml:space="preserve">=</m:t>
            </m:r>
            <m:r>
              <m:t xml:space="preserve"> </m:t>
            </m:r>
            <m:r>
              <m:t xml:space="preserve">0</m:t>
            </m:r>
            <m:r>
              <m:t xml:space="preserve"> </m:t>
            </m:r>
            <m:r>
              <m:rPr>
                <m:lit/>
                <m:nor/>
              </m:rPr>
              <m:t xml:space="preserve">otherwise</m:t>
            </m:r>
          </m:e>
        </m:eqArr>
      </m:oMath>
      <w:r>
        <w:rPr>
          <w:sz w:val="24"/>
        </w:rPr>
        <w:tab/>
        <w:tab/>
        <w:tab/>
        <w:tab/>
        <w:tab/>
        <w:t xml:space="preserve">       (3)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>Since accurate VaR estimates exhibit the property of correct conditional coverage, the I</w:t>
      </w:r>
      <w:r>
        <w:rPr>
          <w:sz w:val="24"/>
          <w:vertAlign w:val="subscript"/>
        </w:rPr>
        <w:t>mt+1</w:t>
      </w:r>
      <w:r>
        <w:rPr>
          <w:sz w:val="24"/>
        </w:rPr>
        <w:t xml:space="preserve"> series should exhibit both correct unconditional coverage (ie, total exception should satisfy p* = .05) and serial dependence.  </w:t>
      </w:r>
      <w:r>
        <w:rPr>
          <w:sz w:val="24"/>
          <w:u w:val="single"/>
        </w:rPr>
        <w:t>Note, the LR</w:t>
      </w:r>
      <w:r>
        <w:rPr>
          <w:sz w:val="24"/>
          <w:u w:val="single"/>
          <w:vertAlign w:val="subscript"/>
        </w:rPr>
        <w:t>uc</w:t>
      </w:r>
      <w:r>
        <w:rPr>
          <w:sz w:val="24"/>
          <w:u w:val="single"/>
        </w:rPr>
        <w:t xml:space="preserve"> test does not have power against the alternative hypothesis that the exceptions are clustered in a time-dependent fashion.</w:t>
      </w:r>
      <w:r>
        <w:rPr>
          <w:sz w:val="24"/>
        </w:rPr>
        <w:t xml:space="preserve">  The LR</w:t>
      </w:r>
      <w:r>
        <w:rPr>
          <w:sz w:val="24"/>
          <w:vertAlign w:val="subscript"/>
        </w:rPr>
        <w:t>cc</w:t>
      </w:r>
      <w:r>
        <w:rPr>
          <w:sz w:val="24"/>
        </w:rPr>
        <w:t xml:space="preserve"> test is a joint test of these two properties.  The relevant test statistic is LR</w:t>
      </w:r>
      <w:r>
        <w:rPr>
          <w:sz w:val="24"/>
          <w:vertAlign w:val="subscript"/>
        </w:rPr>
        <w:t xml:space="preserve">cc </w:t>
      </w:r>
      <w:r>
        <w:rPr>
          <w:sz w:val="24"/>
        </w:rPr>
        <w:t>= LR</w:t>
      </w:r>
      <w:r>
        <w:rPr>
          <w:sz w:val="24"/>
          <w:vertAlign w:val="subscript"/>
        </w:rPr>
        <w:t>uc</w:t>
      </w:r>
      <w:r>
        <w:rPr>
          <w:sz w:val="24"/>
        </w:rPr>
        <w:t xml:space="preserve"> + LR</w:t>
      </w:r>
      <w:r>
        <w:rPr>
          <w:sz w:val="24"/>
          <w:vertAlign w:val="subscript"/>
        </w:rPr>
        <w:t xml:space="preserve">ind, </w:t>
      </w:r>
      <w:r>
        <w:rPr>
          <w:sz w:val="24"/>
        </w:rPr>
        <w:t xml:space="preserve">which is distributed as </w:t>
      </w:r>
      <w:r>
        <w:rPr>
          <w:rFonts w:cs="Symbol" w:ascii="Symbol" w:hAnsi="Symbol"/>
          <w:sz w:val="24"/>
        </w:rPr>
        <w:sym w:font="Symbol" w:char="f063"/>
      </w:r>
      <w:r>
        <w:rPr>
          <w:rFonts w:cs="Symbol" w:ascii="Symbol" w:hAnsi="Symbol"/>
          <w:sz w:val="24"/>
          <w:vertAlign w:val="superscript"/>
        </w:rPr>
        <w:sym w:font="Symbol" w:char="f032"/>
      </w:r>
      <w:r>
        <w:rPr>
          <w:rFonts w:cs="Symbol" w:ascii="Symbol" w:hAnsi="Symbol"/>
          <w:sz w:val="24"/>
        </w:rPr>
        <w:sym w:font="Symbol" w:char="f028"/>
        <w:sym w:font="Symbol" w:char="f032"/>
        <w:sym w:font="Symbol" w:char="f020"/>
      </w:r>
      <w:r>
        <w:rPr>
          <w:sz w:val="24"/>
        </w:rPr>
        <w:t>degrees of freedom). LR</w:t>
      </w:r>
      <w:r>
        <w:rPr>
          <w:sz w:val="24"/>
          <w:vertAlign w:val="subscript"/>
        </w:rPr>
        <w:t xml:space="preserve">ind </w:t>
      </w:r>
      <w:r>
        <w:rPr>
          <w:sz w:val="24"/>
        </w:rPr>
        <w:t>= ratio of the null hypothesis of independence against the alternative hypothesis, which is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</w:r>
      <m:oMath xmlns:m="http://schemas.openxmlformats.org/officeDocument/2006/math">
        <m:r>
          <m:t xml:space="preserve">L</m:t>
        </m:r>
        <m:r>
          <m:t xml:space="preserve">A</m:t>
        </m:r>
        <m:r>
          <m:t xml:space="preserve"> </m:t>
        </m:r>
        <m:r>
          <m:t xml:space="preserve">=</m:t>
        </m:r>
        <m:r>
          <m:t xml:space="preserve"> </m:t>
        </m:r>
        <m:r>
          <m:t xml:space="preserve">(</m:t>
        </m:r>
        <m:r>
          <m:t xml:space="preserve">1</m:t>
        </m:r>
        <m:r>
          <m:t xml:space="preserve"> </m:t>
        </m:r>
        <m:r>
          <m:t xml:space="preserve">−</m:t>
        </m:r>
        <m:r>
          <m:t xml:space="preserve"> </m:t>
        </m:r>
        <m:sSub>
          <m:e>
            <m:r>
              <m:t xml:space="preserve">π</m:t>
            </m:r>
          </m:e>
          <m:sub>
            <m:r>
              <m:rPr>
                <m:lit/>
                <m:nor/>
              </m:rPr>
              <m:t xml:space="preserve">01</m:t>
            </m:r>
          </m:sub>
        </m:sSub>
        <m:sSup>
          <m:e>
            <m:r>
              <m:t xml:space="preserve">)</m:t>
            </m:r>
          </m:e>
          <m:sup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00</m:t>
                </m:r>
              </m:sub>
            </m:sSub>
          </m:sup>
        </m:sSup>
        <m:r>
          <m:t xml:space="preserve">(</m:t>
        </m:r>
        <m:sSub>
          <m:e>
            <m:r>
              <m:t xml:space="preserve">π</m:t>
            </m:r>
          </m:e>
          <m:sub>
            <m:r>
              <m:rPr>
                <m:lit/>
                <m:nor/>
              </m:rPr>
              <m:t xml:space="preserve">01</m:t>
            </m:r>
          </m:sub>
        </m:sSub>
        <m:sSup>
          <m:e>
            <m:r>
              <m:t xml:space="preserve">)</m:t>
            </m:r>
          </m:e>
          <m:sup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01</m:t>
                </m:r>
              </m:sub>
            </m:sSub>
          </m:sup>
        </m:sSup>
        <m:r>
          <m:t xml:space="preserve">(</m:t>
        </m:r>
        <m:r>
          <m:t xml:space="preserve">1</m:t>
        </m:r>
        <m:r>
          <m:t xml:space="preserve">−</m:t>
        </m:r>
        <m:sSub>
          <m:e>
            <m:r>
              <m:t xml:space="preserve">π</m:t>
            </m:r>
          </m:e>
          <m:sub>
            <m:r>
              <m:rPr>
                <m:lit/>
                <m:nor/>
              </m:rPr>
              <m:t xml:space="preserve">11</m:t>
            </m:r>
          </m:sub>
        </m:sSub>
        <m:sSup>
          <m:e>
            <m:r>
              <m:t xml:space="preserve">)</m:t>
            </m:r>
          </m:e>
          <m:sup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10</m:t>
                </m:r>
              </m:sub>
            </m:sSub>
          </m:sup>
        </m:sSup>
        <m:r>
          <m:t xml:space="preserve">(</m:t>
        </m:r>
        <m:sSub>
          <m:e>
            <m:r>
              <m:t xml:space="preserve">π</m:t>
            </m:r>
          </m:e>
          <m:sub>
            <m:r>
              <m:rPr>
                <m:lit/>
                <m:nor/>
              </m:rPr>
              <m:t xml:space="preserve">11</m:t>
            </m:r>
          </m:sub>
        </m:sSub>
        <m:sSup>
          <m:e>
            <m:r>
              <m:t xml:space="preserve">)</m:t>
            </m:r>
          </m:e>
          <m:sup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11</m:t>
                </m:r>
              </m:sub>
            </m:sSub>
          </m:sup>
        </m:sSup>
      </m:oMath>
      <w:r>
        <w:rPr>
          <w:sz w:val="24"/>
        </w:rPr>
        <w:tab/>
        <w:tab/>
        <w:tab/>
        <w:tab/>
        <w:tab/>
        <w:tab/>
        <w:t xml:space="preserve">       (4)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>where T</w:t>
      </w:r>
      <w:r>
        <w:rPr>
          <w:sz w:val="24"/>
          <w:vertAlign w:val="subscript"/>
        </w:rPr>
        <w:t>ij</w:t>
      </w:r>
      <w:r>
        <w:rPr>
          <w:sz w:val="24"/>
        </w:rPr>
        <w:t xml:space="preserve"> notation denotes the number of observations in state j after having been in state i the period before,  </w:t>
      </w:r>
      <w:r>
        <w:rPr>
          <w:rFonts w:cs="Symbol" w:ascii="Symbol" w:hAnsi="Symbol"/>
          <w:sz w:val="24"/>
        </w:rPr>
        <w:sym w:font="Symbol" w:char="f070"/>
      </w:r>
      <w:r>
        <w:rPr>
          <w:rFonts w:cs="Symbol" w:ascii="Symbol" w:hAnsi="Symbol"/>
          <w:sz w:val="24"/>
          <w:vertAlign w:val="subscript"/>
        </w:rPr>
        <w:sym w:font="Symbol" w:char="f030"/>
        <w:sym w:font="Symbol" w:char="f031"/>
      </w:r>
      <w:r>
        <w:rPr>
          <w:rFonts w:cs="Symbol" w:ascii="Symbol" w:hAnsi="Symbol"/>
          <w:sz w:val="24"/>
        </w:rPr>
        <w:sym w:font="Symbol" w:char="f020"/>
        <w:sym w:font="Symbol" w:char="f03d"/>
        <w:sym w:font="Symbol" w:char="f020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0"/>
        <w:sym w:font="Symbol" w:char="f031"/>
      </w:r>
      <w:r>
        <w:rPr>
          <w:rFonts w:cs="Symbol" w:ascii="Symbol" w:hAnsi="Symbol"/>
          <w:sz w:val="24"/>
        </w:rPr>
        <w:sym w:font="Symbol" w:char="f02f"/>
        <w:sym w:font="Symbol" w:char="f028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0"/>
        <w:sym w:font="Symbol" w:char="f031"/>
        <w:sym w:font="Symbol" w:char="f020"/>
      </w:r>
      <w:r>
        <w:rPr>
          <w:rFonts w:cs="Symbol" w:ascii="Symbol" w:hAnsi="Symbol"/>
          <w:sz w:val="24"/>
        </w:rPr>
        <w:sym w:font="Symbol" w:char="f02b"/>
        <w:sym w:font="Symbol" w:char="f020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1"/>
      </w:r>
      <w:r>
        <w:rPr>
          <w:rFonts w:cs="Symbol" w:ascii="Symbol" w:hAnsi="Symbol"/>
          <w:sz w:val="24"/>
        </w:rPr>
        <w:sym w:font="Symbol" w:char="f029"/>
        <w:sym w:font="Symbol" w:char="f020"/>
      </w:r>
      <w:r>
        <w:rPr>
          <w:sz w:val="24"/>
        </w:rPr>
        <w:t xml:space="preserve">and </w:t>
      </w:r>
      <w:r>
        <w:rPr>
          <w:rFonts w:cs="Symbol" w:ascii="Symbol" w:hAnsi="Symbol"/>
          <w:sz w:val="24"/>
        </w:rPr>
        <w:sym w:font="Symbol" w:char="f070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1"/>
      </w:r>
      <w:r>
        <w:rPr>
          <w:rFonts w:cs="Symbol" w:ascii="Symbol" w:hAnsi="Symbol"/>
          <w:sz w:val="24"/>
        </w:rPr>
        <w:sym w:font="Symbol" w:char="f020"/>
        <w:sym w:font="Symbol" w:char="f03d"/>
        <w:sym w:font="Symbol" w:char="f020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1"/>
      </w:r>
      <w:r>
        <w:rPr>
          <w:rFonts w:cs="Symbol" w:ascii="Symbol" w:hAnsi="Symbol"/>
          <w:sz w:val="24"/>
        </w:rPr>
        <w:sym w:font="Symbol" w:char="f02f"/>
        <w:sym w:font="Symbol" w:char="f028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0"/>
        <w:sym w:font="Symbol" w:char="f020"/>
      </w:r>
      <w:r>
        <w:rPr>
          <w:rFonts w:cs="Symbol" w:ascii="Symbol" w:hAnsi="Symbol"/>
          <w:sz w:val="24"/>
        </w:rPr>
        <w:sym w:font="Symbol" w:char="f02b"/>
        <w:sym w:font="Symbol" w:char="f020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1"/>
      </w:r>
      <w:r>
        <w:rPr>
          <w:rFonts w:cs="Symbol" w:ascii="Symbol" w:hAnsi="Symbol"/>
          <w:sz w:val="24"/>
        </w:rPr>
        <w:sym w:font="Symbol" w:char="f029"/>
        <w:sym w:font="Symbol" w:char="f02e"/>
        <w:sym w:font="Symbol" w:char="f020"/>
        <w:sym w:font="Symbol" w:char="f020"/>
      </w:r>
      <w:r>
        <w:rPr>
          <w:sz w:val="24"/>
        </w:rPr>
        <w:t xml:space="preserve">Under the null hypothesis of independence, </w:t>
      </w:r>
      <w:r>
        <w:rPr>
          <w:rFonts w:cs="Symbol" w:ascii="Symbol" w:hAnsi="Symbol"/>
          <w:sz w:val="24"/>
        </w:rPr>
        <w:sym w:font="Symbol" w:char="f070"/>
      </w:r>
      <w:r>
        <w:rPr>
          <w:rFonts w:cs="Symbol" w:ascii="Symbol" w:hAnsi="Symbol"/>
          <w:sz w:val="24"/>
          <w:vertAlign w:val="subscript"/>
        </w:rPr>
        <w:sym w:font="Symbol" w:char="f030"/>
        <w:sym w:font="Symbol" w:char="f031"/>
        <w:sym w:font="Symbol" w:char="f020"/>
      </w:r>
      <w:r>
        <w:rPr>
          <w:rFonts w:cs="Symbol" w:ascii="Symbol" w:hAnsi="Symbol"/>
          <w:sz w:val="24"/>
        </w:rPr>
        <w:sym w:font="Symbol" w:char="f03d"/>
        <w:sym w:font="Symbol" w:char="f020"/>
        <w:sym w:font="Symbol" w:char="f020"/>
        <w:sym w:font="Symbol" w:char="f070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1"/>
        <w:sym w:font="Symbol" w:char="f020"/>
      </w:r>
      <w:r>
        <w:rPr>
          <w:rFonts w:cs="Symbol" w:ascii="Symbol" w:hAnsi="Symbol"/>
          <w:sz w:val="24"/>
        </w:rPr>
        <w:sym w:font="Symbol" w:char="f03d"/>
        <w:sym w:font="Symbol" w:char="f020"/>
        <w:sym w:font="Symbol" w:char="f020"/>
        <w:sym w:font="Symbol" w:char="f070"/>
      </w:r>
      <w:r>
        <w:rPr>
          <w:rFonts w:cs="Symbol" w:ascii="Symbol" w:hAnsi="Symbol"/>
          <w:sz w:val="24"/>
          <w:vertAlign w:val="subscript"/>
        </w:rPr>
        <w:sym w:font="Symbol" w:char="f02c"/>
        <w:sym w:font="Symbol" w:char="f020"/>
      </w:r>
      <w:r>
        <w:rPr>
          <w:sz w:val="24"/>
        </w:rPr>
        <w:t>and the relevant likelihood function is given by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</w:r>
      <m:oMath xmlns:m="http://schemas.openxmlformats.org/officeDocument/2006/math">
        <m:r>
          <m:t xml:space="preserve">L</m:t>
        </m:r>
        <m:r>
          <m:t xml:space="preserve">0</m:t>
        </m:r>
        <m:r>
          <m:t xml:space="preserve"> </m:t>
        </m:r>
        <m:r>
          <m:t xml:space="preserve">=</m:t>
        </m:r>
        <m:r>
          <m:t xml:space="preserve"> </m:t>
        </m:r>
        <m:r>
          <m:t xml:space="preserve">(</m:t>
        </m:r>
        <m:r>
          <m:t xml:space="preserve">1</m:t>
        </m:r>
        <m:r>
          <m:t xml:space="preserve"> </m:t>
        </m:r>
        <m:r>
          <m:t xml:space="preserve">−</m:t>
        </m:r>
        <m:r>
          <m:t xml:space="preserve"> </m:t>
        </m:r>
        <m:r>
          <m:t xml:space="preserve">π</m:t>
        </m:r>
        <m:sSup>
          <m:e>
            <m:r>
              <m:t xml:space="preserve">)</m:t>
            </m:r>
          </m:e>
          <m:sup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00</m:t>
                </m:r>
              </m:sub>
            </m:sSub>
            <m:r>
              <m:t xml:space="preserve">+</m:t>
            </m:r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10</m:t>
                </m:r>
              </m:sub>
            </m:sSub>
            <m:r>
              <m:t xml:space="preserve"></m:t>
            </m:r>
          </m:sup>
        </m:sSup>
        <m:r>
          <m:t xml:space="preserve">(</m:t>
        </m:r>
        <m:r>
          <m:t xml:space="preserve">π</m:t>
        </m:r>
        <m:sSup>
          <m:e>
            <m:r>
              <m:t xml:space="preserve">)</m:t>
            </m:r>
          </m:e>
          <m:sup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01</m:t>
                </m:r>
              </m:sub>
            </m:sSub>
            <m:r>
              <m:t xml:space="preserve"> </m:t>
            </m:r>
            <m:r>
              <m:t xml:space="preserve">+</m:t>
            </m:r>
            <m:r>
              <m:t xml:space="preserve"> </m:t>
            </m:r>
            <m:sSub>
              <m:e>
                <m:r>
                  <m:t xml:space="preserve">T</m:t>
                </m:r>
              </m:e>
              <m:sub>
                <m:r>
                  <m:rPr>
                    <m:lit/>
                    <m:nor/>
                  </m:rPr>
                  <m:t xml:space="preserve">11</m:t>
                </m:r>
              </m:sub>
            </m:sSub>
          </m:sup>
        </m:sSup>
      </m:oMath>
      <w:r>
        <w:rPr>
          <w:sz w:val="24"/>
        </w:rPr>
        <w:tab/>
        <w:tab/>
        <w:tab/>
        <w:tab/>
        <w:tab/>
        <w:tab/>
        <w:tab/>
        <w:tab/>
        <w:t xml:space="preserve">       (5)</w:t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 xml:space="preserve">and </w:t>
      </w:r>
      <w:r>
        <w:rPr>
          <w:rFonts w:cs="Symbol" w:ascii="Symbol" w:hAnsi="Symbol"/>
          <w:sz w:val="24"/>
        </w:rPr>
        <w:sym w:font="Symbol" w:char="f070"/>
        <w:sym w:font="Symbol" w:char="f020"/>
        <w:sym w:font="Symbol" w:char="f03d"/>
        <w:sym w:font="Symbol" w:char="f020"/>
        <w:sym w:font="Symbol" w:char="f028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0"/>
        <w:sym w:font="Symbol" w:char="f031"/>
      </w:r>
      <w:r>
        <w:rPr>
          <w:rFonts w:cs="Symbol" w:ascii="Symbol" w:hAnsi="Symbol"/>
          <w:sz w:val="24"/>
        </w:rPr>
        <w:sym w:font="Symbol" w:char="f020"/>
        <w:sym w:font="Symbol" w:char="f02b"/>
        <w:sym w:font="Symbol" w:char="f020"/>
        <w:sym w:font="Symbol" w:char="f054"/>
      </w:r>
      <w:r>
        <w:rPr>
          <w:rFonts w:cs="Symbol" w:ascii="Symbol" w:hAnsi="Symbol"/>
          <w:sz w:val="24"/>
          <w:vertAlign w:val="subscript"/>
        </w:rPr>
        <w:sym w:font="Symbol" w:char="f031"/>
        <w:sym w:font="Symbol" w:char="f031"/>
      </w:r>
      <w:r>
        <w:rPr>
          <w:rFonts w:cs="Symbol" w:ascii="Symbol" w:hAnsi="Symbol"/>
          <w:sz w:val="24"/>
        </w:rPr>
        <w:sym w:font="Symbol" w:char="f029"/>
        <w:sym w:font="Symbol" w:char="f02f"/>
        <w:sym w:font="Symbol" w:char="f032"/>
        <w:sym w:font="Symbol" w:char="f035"/>
        <w:sym w:font="Symbol" w:char="f030"/>
        <w:sym w:font="Symbol" w:char="f02e"/>
        <w:sym w:font="Symbol" w:char="f020"/>
        <w:sym w:font="Symbol" w:char="f020"/>
      </w:r>
      <w:r>
        <w:rPr>
          <w:sz w:val="24"/>
        </w:rPr>
        <w:t>Christofferson shows that the test statistic is given by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/>
      </w:pPr>
      <w:r>
        <w:rPr>
          <w:sz w:val="24"/>
        </w:rPr>
      </w:r>
      <m:oMath xmlns:m="http://schemas.openxmlformats.org/officeDocument/2006/math">
        <m:sSub>
          <m:e>
            <m:r>
              <m:rPr>
                <m:lit/>
                <m:nor/>
              </m:rPr>
              <m:t xml:space="preserve">LR</m:t>
            </m:r>
          </m:e>
          <m:sub>
            <m:r>
              <m:rPr>
                <m:lit/>
                <m:nor/>
              </m:rPr>
              <m:t xml:space="preserve">ind</m:t>
            </m:r>
          </m:sub>
        </m:sSub>
        <m:r>
          <m:t xml:space="preserve"> </m:t>
        </m:r>
        <m:r>
          <m:t xml:space="preserve">=</m:t>
        </m:r>
        <m:r>
          <m:t xml:space="preserve"> </m:t>
        </m:r>
        <m:r>
          <m:t xml:space="preserve">2</m:t>
        </m:r>
        <m:r>
          <m:rPr>
            <m:lit/>
            <m:nor/>
          </m:rPr>
          <m:t xml:space="preserve">log</m:t>
        </m:r>
        <m:r>
          <m:t xml:space="preserve">(</m:t>
        </m:r>
        <m:f>
          <m:fPr>
            <m:type m:val="lin"/>
          </m:fPr>
          <m:num>
            <m:sSub>
              <m:e>
                <m:r>
                  <m:t xml:space="preserve">L</m:t>
                </m:r>
              </m:e>
              <m:sub>
                <m:r>
                  <m:t xml:space="preserve">A</m:t>
                </m:r>
              </m:sub>
            </m:sSub>
          </m:num>
          <m:den>
            <m:sSub>
              <m:e>
                <m:r>
                  <m:t xml:space="preserve">L</m:t>
                </m:r>
              </m:e>
              <m:sub>
                <m:r>
                  <m:t xml:space="preserve">0</m:t>
                </m:r>
              </m:sub>
            </m:sSub>
          </m:den>
        </m:f>
        <m:r>
          <m:t xml:space="preserve">)</m:t>
        </m:r>
      </m:oMath>
      <w:r>
        <w:rPr>
          <w:sz w:val="24"/>
        </w:rPr>
        <w:tab/>
        <w:tab/>
        <w:tab/>
        <w:tab/>
        <w:tab/>
        <w:tab/>
        <w:tab/>
        <w:tab/>
        <w:t xml:space="preserve">       (6)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II.2 Implementation:</w:t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sz w:val="24"/>
        </w:rPr>
      </w:pPr>
      <w:r>
        <w:rPr>
          <w:sz w:val="24"/>
        </w:rPr>
        <w:t>With the same caveats as in I.2, obtain P/L and VaR on a similar footing.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sz w:val="24"/>
        </w:rPr>
      </w:pPr>
      <w:r>
        <w:rPr>
          <w:sz w:val="24"/>
        </w:rPr>
        <w:t>Obtain the unconditional LR statistic, LR</w:t>
      </w:r>
      <w:r>
        <w:rPr>
          <w:sz w:val="24"/>
          <w:vertAlign w:val="subscript"/>
        </w:rPr>
        <w:t>uc</w:t>
      </w:r>
      <w:r>
        <w:rPr>
          <w:sz w:val="24"/>
        </w:rPr>
        <w:t xml:space="preserve"> (Equation 2) and add that to LR</w:t>
      </w:r>
      <w:r>
        <w:rPr>
          <w:sz w:val="24"/>
          <w:vertAlign w:val="subscript"/>
        </w:rPr>
        <w:t>ind</w:t>
      </w:r>
      <w:r>
        <w:rPr>
          <w:sz w:val="24"/>
        </w:rPr>
        <w:t xml:space="preserve"> to obtain LR</w:t>
      </w:r>
      <w:r>
        <w:rPr>
          <w:sz w:val="24"/>
          <w:vertAlign w:val="subscript"/>
        </w:rPr>
        <w:t>cc</w:t>
      </w:r>
      <w:r>
        <w:rPr>
          <w:sz w:val="24"/>
        </w:rPr>
        <w:t xml:space="preserve">.  </w:t>
      </w:r>
    </w:p>
    <w:p>
      <w:pPr>
        <w:pStyle w:val="Normal"/>
        <w:numPr>
          <w:ilvl w:val="0"/>
          <w:numId w:val="4"/>
        </w:numPr>
        <w:spacing w:lineRule="auto" w:line="360"/>
        <w:jc w:val="both"/>
        <w:rPr>
          <w:sz w:val="24"/>
        </w:rPr>
      </w:pPr>
      <w:r>
        <w:rPr>
          <w:sz w:val="24"/>
        </w:rPr>
        <w:t xml:space="preserve">Check to see if the sum is within the bounds of the inverse of a chi-square with 2 degrees of freedom.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Heading3"/>
        <w:ind w:hanging="0" w:start="0"/>
        <w:rPr/>
      </w:pPr>
      <w:r>
        <w:rPr/>
        <w:t>IV.1 Results</w:t>
      </w:r>
    </w:p>
    <w:p>
      <w:pPr>
        <w:pStyle w:val="Normal"/>
        <w:rPr/>
      </w:pPr>
      <w:r>
        <w:rPr/>
      </w:r>
    </w:p>
    <w:p>
      <w:pPr>
        <w:pStyle w:val="BodyText"/>
        <w:numPr>
          <w:ilvl w:val="0"/>
          <w:numId w:val="5"/>
        </w:numPr>
        <w:rPr/>
      </w:pPr>
      <w:r>
        <w:rPr/>
        <w:t>AGG-GAS (255, 361 days) passes the Kupiec Test, fails the Interval Forecasting method.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sz w:val="24"/>
        </w:rPr>
      </w:pPr>
      <w:r>
        <w:rPr>
          <w:sz w:val="24"/>
        </w:rPr>
        <w:t>AGG-ENRON fails the Kupiec Test (starting at June 30, going back 360 days).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III.1 Other methods, Issues:</w:t>
      </w:r>
    </w:p>
    <w:p>
      <w:pPr>
        <w:pStyle w:val="Normal"/>
        <w:spacing w:lineRule="auto" w:line="360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4"/>
        </w:rPr>
      </w:pPr>
      <w:r>
        <w:rPr>
          <w:sz w:val="24"/>
        </w:rPr>
        <w:t>Crnkovic and Drachman (1996): A Quality Control test based on the percentile distribution of the forecasted P/L.  The practical problem is that we don’t store the 1000 simulations results going back for more than a week.  Hence, the practical implementation of this methodology is going to be difficult.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4"/>
        </w:rPr>
      </w:pPr>
      <w:r>
        <w:rPr>
          <w:sz w:val="24"/>
        </w:rPr>
        <w:t>Lopez (1997) suggests using Regulatory Loss Functions for backtesting purposes – difficult to interpret in the energy trading markets as there isn’t any prescribed regulatory loss amount.</w:t>
      </w:r>
    </w:p>
    <w:p>
      <w:pPr>
        <w:pStyle w:val="Normal"/>
        <w:numPr>
          <w:ilvl w:val="0"/>
          <w:numId w:val="2"/>
        </w:numPr>
        <w:spacing w:lineRule="auto" w:line="360"/>
        <w:jc w:val="both"/>
        <w:rPr>
          <w:sz w:val="24"/>
          <w:u w:val="single"/>
        </w:rPr>
      </w:pPr>
      <w:r>
        <w:rPr>
          <w:sz w:val="24"/>
        </w:rPr>
        <w:t>Basle Committee(“</w:t>
      </w:r>
      <w:r>
        <w:rPr>
          <w:i/>
          <w:sz w:val="24"/>
        </w:rPr>
        <w:t>Supervisory Framework for the use of Backtesting in Conjunction with the Internal Models Approach to Market Risk Capital Requirements</w:t>
      </w:r>
      <w:r>
        <w:rPr>
          <w:sz w:val="24"/>
        </w:rPr>
        <w:t xml:space="preserve">,” Basle Committee on Banking Supervision, available at </w:t>
      </w:r>
      <w:hyperlink r:id="rId2">
        <w:r>
          <w:rPr>
            <w:rStyle w:val="Hyperlink"/>
          </w:rPr>
          <w:t>www.bis.org)</w:t>
        </w:r>
      </w:hyperlink>
      <w:r>
        <w:rPr>
          <w:sz w:val="24"/>
        </w:rPr>
        <w:t xml:space="preserve">, applicable to banks, used for charging regulatory capital:  </w:t>
      </w:r>
      <w:r>
        <w:rPr>
          <w:sz w:val="24"/>
          <w:u w:val="single"/>
        </w:rPr>
        <w:t>GREEN, YELLOW, RED</w:t>
      </w:r>
    </w:p>
    <w:p>
      <w:pPr>
        <w:pStyle w:val="BodyText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BodyText"/>
        <w:rPr/>
      </w:pPr>
      <w:r>
        <w:rPr>
          <w:u w:val="single"/>
        </w:rPr>
        <w:t xml:space="preserve">Green Zone:  </w:t>
      </w:r>
      <w:r>
        <w:rPr/>
        <w:t>No penalty imposed.</w:t>
      </w:r>
    </w:p>
    <w:p>
      <w:pPr>
        <w:pStyle w:val="BodyText"/>
        <w:rPr/>
      </w:pPr>
      <w:r>
        <w:rPr>
          <w:u w:val="single"/>
        </w:rPr>
        <w:t>Yellow Zone:</w:t>
      </w:r>
      <w:r>
        <w:rPr/>
        <w:t xml:space="preserve">  </w:t>
      </w:r>
      <w:r>
        <w:rPr>
          <w:i/>
        </w:rPr>
        <w:t>“..Begins at the point such that the Probability [of a good bank] obtaining that number of fewer exceptions equals or exceed 95%…”</w:t>
      </w:r>
    </w:p>
    <w:p>
      <w:pPr>
        <w:pStyle w:val="BodyText"/>
        <w:rPr/>
      </w:pPr>
      <w:r>
        <w:rPr>
          <w:u w:val="single"/>
        </w:rPr>
        <w:t>Red Zone:  “</w:t>
      </w:r>
      <w:r>
        <w:rPr/>
        <w:t>…</w:t>
      </w:r>
      <w:r>
        <w:rPr>
          <w:i/>
        </w:rPr>
        <w:t>the beginning of the red zone is defined at the point that the probability [of a good bank] obtaining that number or fewer exceptions equal or exceeds 99.99%…”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>The probability of an exception is assumed to follow a binomial process.</w:t>
      </w:r>
    </w:p>
    <w:p>
      <w:pPr>
        <w:pStyle w:val="Normal"/>
        <w:spacing w:lineRule="auto" w:line="360"/>
        <w:jc w:val="both"/>
        <w:rPr/>
      </w:pPr>
      <w:r>
        <w:rPr>
          <w:sz w:val="24"/>
        </w:rPr>
        <w:t xml:space="preserve">Performing the calculations for </w:t>
      </w:r>
      <w:r>
        <w:rPr>
          <w:sz w:val="24"/>
          <w:u w:val="single"/>
        </w:rPr>
        <w:t>p = .05, N=255 gives</w:t>
      </w:r>
    </w:p>
    <w:p>
      <w:pPr>
        <w:pStyle w:val="Normal"/>
        <w:spacing w:lineRule="auto" w:line="36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>GREEN:  1-18 exceptions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>YELLOW:  19-26 exceptions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 xml:space="preserve">RED:  27+  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</w:r>
    </w:p>
    <w:p>
      <w:pPr>
        <w:pStyle w:val="Heading4"/>
        <w:ind w:hanging="0" w:start="0"/>
        <w:rPr/>
      </w:pPr>
      <w:r>
        <w:rPr/>
        <w:t>Kupiec for the same numbers gives</w:t>
      </w:r>
    </w:p>
    <w:p>
      <w:pPr>
        <w:pStyle w:val="Normal"/>
        <w:spacing w:lineRule="auto" w:line="360"/>
        <w:jc w:val="both"/>
        <w:rPr>
          <w:sz w:val="24"/>
        </w:rPr>
      </w:pPr>
      <w:r>
        <w:rPr>
          <w:sz w:val="24"/>
        </w:rPr>
        <w:t>Statistically significant 6 &lt; Number of Exceptions &lt; 21.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decimal"/>
      <w:lvlText w:val="(%1)"/>
      <w:lvlJc w:val="start"/>
      <w:pPr>
        <w:tabs>
          <w:tab w:val="num" w:pos="360"/>
        </w:tabs>
        <w:ind w:start="36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lineRule="auto" w:line="360"/>
      <w:jc w:val="both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jc w:val="both"/>
      <w:outlineLvl w:val="3"/>
    </w:pPr>
    <w:rPr>
      <w:sz w:val="24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/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360"/>
      <w:jc w:val="both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2000-08-23T11:27:00Z</dcterms:created>
  <dc:creator>Naveen C. Andrews</dc:creator>
  <dc:description/>
  <dc:language>en-CA</dc:language>
  <cp:lastModifiedBy>Naveen C. Andrews</cp:lastModifiedBy>
  <cp:lastPrinted>2000-08-23T10:38:00Z</cp:lastPrinted>
  <dcterms:modified xsi:type="dcterms:W3CDTF">2000-08-23T20:14:00Z</dcterms:modified>
  <cp:revision>13</cp:revision>
  <dc:subject/>
  <dc:title>Backtesting Implementation for ENA Trading Portfolios</dc:title>
</cp:coreProperties>
</file>