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BACKGROUND AND STATUS</w:t>
      </w:r>
    </w:p>
    <w:p>
      <w:pPr>
        <w:pStyle w:val="Normal"/>
        <w:rPr/>
      </w:pPr>
      <w:r>
        <w:rPr/>
      </w:r>
    </w:p>
    <w:p>
      <w:pPr>
        <w:pStyle w:val="Normal"/>
        <w:numPr>
          <w:ilvl w:val="0"/>
          <w:numId w:val="4"/>
        </w:numPr>
        <w:rPr/>
      </w:pPr>
      <w:r>
        <w:rPr>
          <w:b/>
          <w:bCs/>
        </w:rPr>
        <w:t>AB1890 Retail Rate Freeze / CTC Collection</w:t>
      </w:r>
      <w:r>
        <w:rPr/>
        <w:t xml:space="preserve"> – </w:t>
      </w:r>
    </w:p>
    <w:p>
      <w:pPr>
        <w:pStyle w:val="Normal"/>
        <w:numPr>
          <w:ilvl w:val="1"/>
          <w:numId w:val="4"/>
        </w:numPr>
        <w:rPr/>
      </w:pPr>
      <w:r>
        <w:rPr/>
        <w:t xml:space="preserve">AB1890 mandated retail rate freeze until earlier of (1) full collection of stranded costs or (2) March 31, 2002; </w:t>
      </w:r>
    </w:p>
    <w:p>
      <w:pPr>
        <w:pStyle w:val="Normal"/>
        <w:numPr>
          <w:ilvl w:val="1"/>
          <w:numId w:val="4"/>
        </w:numPr>
        <w:rPr/>
      </w:pPr>
      <w:r>
        <w:rPr/>
        <w:t>AB1890 authorized collection of stranded costs via a Competitive Transition Charge (“CTC”):</w:t>
      </w:r>
    </w:p>
    <w:p>
      <w:pPr>
        <w:pStyle w:val="Normal"/>
        <w:numPr>
          <w:ilvl w:val="2"/>
          <w:numId w:val="4"/>
        </w:numPr>
        <w:rPr/>
      </w:pPr>
      <w:r>
        <w:rPr/>
        <w:t>PG&amp;E – stranded costs not fully collected; CTC collection continues to be applicable.</w:t>
      </w:r>
    </w:p>
    <w:p>
      <w:pPr>
        <w:pStyle w:val="Normal"/>
        <w:numPr>
          <w:ilvl w:val="2"/>
          <w:numId w:val="4"/>
        </w:numPr>
        <w:rPr/>
      </w:pPr>
      <w:r>
        <w:rPr/>
        <w:t>SCE – stranded costs not fully collected; CTC collection continues to be applicable.</w:t>
      </w:r>
    </w:p>
    <w:p>
      <w:pPr>
        <w:pStyle w:val="Normal"/>
        <w:numPr>
          <w:ilvl w:val="2"/>
          <w:numId w:val="4"/>
        </w:numPr>
        <w:rPr/>
      </w:pPr>
      <w:r>
        <w:rPr/>
        <w:t xml:space="preserve">SDG&amp;E – fully collected stranded costs; ended CTC collection in June, 1999; charging consumers in service territory legislatively mandated fixed price (with balancing account for undercollection).  </w:t>
      </w:r>
    </w:p>
    <w:p>
      <w:pPr>
        <w:pStyle w:val="Normal"/>
        <w:numPr>
          <w:ilvl w:val="1"/>
          <w:numId w:val="4"/>
        </w:numPr>
        <w:rPr/>
      </w:pPr>
      <w:r>
        <w:rPr/>
        <w:t>PG&amp;E and SCE have requested that the CPUC determine that stranded costs are fully collected (in addition, the Utilities filed in Federal Court seeking relief from the CPUC’s lack of decision making).</w:t>
      </w:r>
    </w:p>
    <w:p>
      <w:pPr>
        <w:pStyle w:val="Normal"/>
        <w:numPr>
          <w:ilvl w:val="2"/>
          <w:numId w:val="4"/>
        </w:numPr>
        <w:rPr/>
      </w:pPr>
      <w:r>
        <w:rPr/>
        <w:t>PG&amp;E – argues that stranded costs were fully recovered as early as May 2000.</w:t>
      </w:r>
    </w:p>
    <w:p>
      <w:pPr>
        <w:pStyle w:val="Normal"/>
        <w:numPr>
          <w:ilvl w:val="2"/>
          <w:numId w:val="4"/>
        </w:numPr>
        <w:rPr/>
      </w:pPr>
      <w:r>
        <w:rPr/>
        <w:t>SCE – argues that stranded costs were fully recovered as early as August 2000.</w:t>
      </w:r>
    </w:p>
    <w:p>
      <w:pPr>
        <w:pStyle w:val="Normal"/>
        <w:numPr>
          <w:ilvl w:val="2"/>
          <w:numId w:val="4"/>
        </w:numPr>
        <w:rPr/>
      </w:pPr>
      <w:r>
        <w:rPr/>
        <w:t>SDG&amp;E – not applicable.</w:t>
      </w:r>
    </w:p>
    <w:p>
      <w:pPr>
        <w:pStyle w:val="Normal"/>
        <w:numPr>
          <w:ilvl w:val="1"/>
          <w:numId w:val="4"/>
        </w:numPr>
        <w:rPr/>
      </w:pPr>
      <w:r>
        <w:rPr/>
        <w:t xml:space="preserve">There would be no recovery of CTC (and therefore Negative CTC) if PG&amp;E and SCE had fully recovered stranded costs in the past. </w:t>
      </w:r>
    </w:p>
    <w:p>
      <w:pPr>
        <w:pStyle w:val="Normal"/>
        <w:rPr/>
      </w:pPr>
      <w:r>
        <w:rPr/>
      </w:r>
    </w:p>
    <w:p>
      <w:pPr>
        <w:pStyle w:val="Normal"/>
        <w:numPr>
          <w:ilvl w:val="0"/>
          <w:numId w:val="4"/>
        </w:numPr>
        <w:rPr/>
      </w:pPr>
      <w:r>
        <w:rPr>
          <w:b/>
          <w:bCs/>
        </w:rPr>
        <w:t>CTC Calculation Mechanism / PX Credit</w:t>
      </w:r>
      <w:r>
        <w:rPr/>
        <w:t xml:space="preserve"> – </w:t>
      </w:r>
    </w:p>
    <w:p>
      <w:pPr>
        <w:pStyle w:val="Normal"/>
        <w:numPr>
          <w:ilvl w:val="1"/>
          <w:numId w:val="4"/>
        </w:numPr>
        <w:rPr/>
      </w:pPr>
      <w:r>
        <w:rPr/>
        <w:t xml:space="preserve">CPUC ordered CTC calculation through a residual approach; </w:t>
      </w:r>
    </w:p>
    <w:p>
      <w:pPr>
        <w:pStyle w:val="BodyTextIndent2"/>
        <w:ind w:hanging="1152" w:start="3312" w:end="0"/>
        <w:rPr>
          <w:b/>
          <w:bCs/>
          <w:i/>
          <w:i/>
          <w:iCs/>
        </w:rPr>
      </w:pPr>
      <w:r>
        <w:rPr>
          <w:b/>
          <w:bCs/>
          <w:i/>
          <w:iCs/>
        </w:rPr>
        <w:t>CTC = (Total Retail Rate – Distribution Rate  – Transmission Rate – System Benefit Charge) – PX Credit</w:t>
      </w:r>
    </w:p>
    <w:p>
      <w:pPr>
        <w:pStyle w:val="Normal"/>
        <w:numPr>
          <w:ilvl w:val="1"/>
          <w:numId w:val="4"/>
        </w:numPr>
        <w:rPr/>
      </w:pPr>
      <w:r>
        <w:rPr/>
        <w:t xml:space="preserve">PX Credit was calculated as a combination of Cal PX and CAISO market expenses; </w:t>
      </w:r>
    </w:p>
    <w:p>
      <w:pPr>
        <w:pStyle w:val="Normal"/>
        <w:numPr>
          <w:ilvl w:val="1"/>
          <w:numId w:val="4"/>
        </w:numPr>
        <w:rPr/>
      </w:pPr>
      <w:r>
        <w:rPr/>
        <w:t xml:space="preserve">Cal PX was dissolved in January, 2001 rendering PX Credit and therefore CTC calculation ineffective; </w:t>
      </w:r>
    </w:p>
    <w:p>
      <w:pPr>
        <w:pStyle w:val="Normal"/>
        <w:numPr>
          <w:ilvl w:val="1"/>
          <w:numId w:val="4"/>
        </w:numPr>
        <w:rPr/>
      </w:pPr>
      <w:r>
        <w:rPr/>
        <w:t>Enron has supported a reformulated PX Credit based on Dow Jones Index (NP-15 and SP-15).</w:t>
      </w:r>
    </w:p>
    <w:p>
      <w:pPr>
        <w:pStyle w:val="Normal"/>
        <w:numPr>
          <w:ilvl w:val="1"/>
          <w:numId w:val="4"/>
        </w:numPr>
        <w:rPr/>
      </w:pPr>
      <w:r>
        <w:rPr/>
        <w:t>Utilities have filed at the CPUC to replace the PX Credit although the CPUC has not yet issued a final Order</w:t>
      </w:r>
    </w:p>
    <w:p>
      <w:pPr>
        <w:pStyle w:val="Normal"/>
        <w:numPr>
          <w:ilvl w:val="2"/>
          <w:numId w:val="4"/>
        </w:numPr>
        <w:rPr/>
      </w:pPr>
      <w:r>
        <w:rPr/>
        <w:t>PG&amp;E – Advice Letter implementing Schedule E-GEN (2101-E)</w:t>
      </w:r>
    </w:p>
    <w:p>
      <w:pPr>
        <w:pStyle w:val="Normal"/>
        <w:numPr>
          <w:ilvl w:val="3"/>
          <w:numId w:val="4"/>
        </w:numPr>
        <w:rPr/>
      </w:pPr>
      <w:r>
        <w:rPr/>
        <w:t>PX Credit for Direct Access customers equal to combination of cost of Utility Retained Generation and cost of CDWR power</w:t>
      </w:r>
    </w:p>
    <w:p>
      <w:pPr>
        <w:pStyle w:val="Normal"/>
        <w:numPr>
          <w:ilvl w:val="2"/>
          <w:numId w:val="4"/>
        </w:numPr>
        <w:rPr/>
      </w:pPr>
      <w:r>
        <w:rPr/>
        <w:t>SCE – Advice Letter implementing Schedule PE (1529-E)</w:t>
      </w:r>
    </w:p>
    <w:p>
      <w:pPr>
        <w:pStyle w:val="Normal"/>
        <w:numPr>
          <w:ilvl w:val="3"/>
          <w:numId w:val="4"/>
        </w:numPr>
        <w:rPr/>
      </w:pPr>
      <w:r>
        <w:rPr/>
        <w:t>PX Credit for Direct Access customers equal to Generation rate of customer’s Otherwise Applicable Tariff (implying that CTC = 0 c/kwh for all kwh)</w:t>
      </w:r>
    </w:p>
    <w:p>
      <w:pPr>
        <w:pStyle w:val="Normal"/>
        <w:numPr>
          <w:ilvl w:val="2"/>
          <w:numId w:val="4"/>
        </w:numPr>
        <w:rPr/>
      </w:pPr>
      <w:r>
        <w:rPr/>
        <w:t>SDG&amp;E – not applicable.</w:t>
      </w:r>
    </w:p>
    <w:p>
      <w:pPr>
        <w:pStyle w:val="Normal"/>
        <w:rPr/>
      </w:pPr>
      <w:r>
        <w:rPr/>
      </w:r>
    </w:p>
    <w:p>
      <w:pPr>
        <w:pStyle w:val="Normal"/>
        <w:numPr>
          <w:ilvl w:val="0"/>
          <w:numId w:val="4"/>
        </w:numPr>
        <w:rPr/>
      </w:pPr>
      <w:r>
        <w:rPr>
          <w:b/>
          <w:bCs/>
        </w:rPr>
        <w:t>Negative CTC</w:t>
      </w:r>
      <w:r>
        <w:rPr/>
        <w:t xml:space="preserve"> – </w:t>
      </w:r>
    </w:p>
    <w:p>
      <w:pPr>
        <w:pStyle w:val="Normal"/>
        <w:numPr>
          <w:ilvl w:val="1"/>
          <w:numId w:val="4"/>
        </w:numPr>
        <w:rPr/>
      </w:pPr>
      <w:r>
        <w:rPr/>
        <w:t xml:space="preserve">Initial implementation of CTC calculation did not allow the residual calculation to be “negative” (i.e., zero minimum bill in effect); </w:t>
      </w:r>
    </w:p>
    <w:p>
      <w:pPr>
        <w:pStyle w:val="Normal"/>
        <w:numPr>
          <w:ilvl w:val="1"/>
          <w:numId w:val="4"/>
        </w:numPr>
        <w:rPr/>
      </w:pPr>
      <w:r>
        <w:rPr/>
        <w:t xml:space="preserve">Agreements between Enron and the Utilities were filed at and approved by the CPUC that ended the zero minimum bill and therefore provided for payment/credit of Negative CTC; </w:t>
      </w:r>
    </w:p>
    <w:p>
      <w:pPr>
        <w:pStyle w:val="Normal"/>
        <w:numPr>
          <w:ilvl w:val="1"/>
          <w:numId w:val="4"/>
        </w:numPr>
        <w:rPr/>
      </w:pPr>
      <w:r>
        <w:rPr/>
        <w:t xml:space="preserve">Negative CTC occurs when PX Credit is greater than total retail rate plus distribution rate plus transmission rate plus system benefit charge (i.e., when wholesale prices are very high); </w:t>
      </w:r>
    </w:p>
    <w:p>
      <w:pPr>
        <w:pStyle w:val="Normal"/>
        <w:numPr>
          <w:ilvl w:val="1"/>
          <w:numId w:val="4"/>
        </w:numPr>
        <w:rPr/>
      </w:pPr>
      <w:r>
        <w:rPr/>
        <w:t>PG&amp;E and SCE have not paid Negative CTC to Enron (and presumably other suppliers) for some time based on arguments that it is improper for them to pay credits directly to Enron as the ESP and that Enron’s affiliates manipulated the markets thereby driving up the Negative CTC claims;</w:t>
      </w:r>
    </w:p>
    <w:p>
      <w:pPr>
        <w:pStyle w:val="Normal"/>
        <w:numPr>
          <w:ilvl w:val="1"/>
          <w:numId w:val="4"/>
        </w:numPr>
        <w:rPr/>
      </w:pPr>
      <w:r>
        <w:rPr/>
        <w:t>Enron is owed approximately $500 million in past due Negative CTC charges.</w:t>
      </w:r>
    </w:p>
    <w:p>
      <w:pPr>
        <w:pStyle w:val="Normal"/>
        <w:rPr/>
      </w:pPr>
      <w:r>
        <w:rPr/>
      </w:r>
    </w:p>
    <w:p>
      <w:pPr>
        <w:pStyle w:val="Normal"/>
        <w:numPr>
          <w:ilvl w:val="0"/>
          <w:numId w:val="4"/>
        </w:numPr>
        <w:rPr/>
      </w:pPr>
      <w:r>
        <w:rPr>
          <w:b/>
          <w:bCs/>
        </w:rPr>
        <w:t>1 c/kwh Interim Energy Procurement Surcharge (January 4, 2001)</w:t>
      </w:r>
      <w:r>
        <w:rPr/>
        <w:t xml:space="preserve"> – </w:t>
      </w:r>
    </w:p>
    <w:p>
      <w:pPr>
        <w:pStyle w:val="Normal"/>
        <w:numPr>
          <w:ilvl w:val="1"/>
          <w:numId w:val="2"/>
        </w:numPr>
        <w:rPr/>
      </w:pPr>
      <w:r>
        <w:rPr/>
        <w:t>Applies uniform 1 c/kwh surcharge to all PG&amp;E and SCE customers (except certain residential accounts) on an interim basis for a period of 90 days.</w:t>
      </w:r>
    </w:p>
    <w:p>
      <w:pPr>
        <w:pStyle w:val="Normal"/>
        <w:numPr>
          <w:ilvl w:val="1"/>
          <w:numId w:val="2"/>
        </w:numPr>
        <w:rPr/>
      </w:pPr>
      <w:r>
        <w:rPr/>
        <w:t>Established for the purpose of improving ability of these 2 utilities to cover costs of procuring energy in the wholesale markets that they cannot produce themselves;</w:t>
      </w:r>
    </w:p>
    <w:p>
      <w:pPr>
        <w:pStyle w:val="Normal"/>
        <w:numPr>
          <w:ilvl w:val="1"/>
          <w:numId w:val="2"/>
        </w:numPr>
        <w:rPr/>
      </w:pPr>
      <w:r>
        <w:rPr/>
        <w:t>Explicitly identified as applying to direct access customers as well as bundled customers;</w:t>
      </w:r>
    </w:p>
    <w:p>
      <w:pPr>
        <w:pStyle w:val="Normal"/>
        <w:numPr>
          <w:ilvl w:val="1"/>
          <w:numId w:val="2"/>
        </w:numPr>
        <w:rPr/>
      </w:pPr>
      <w:r>
        <w:rPr/>
        <w:t xml:space="preserve">Utilities have adopted different approaches to passthrough - </w:t>
      </w:r>
    </w:p>
    <w:p>
      <w:pPr>
        <w:pStyle w:val="Normal"/>
        <w:numPr>
          <w:ilvl w:val="2"/>
          <w:numId w:val="7"/>
        </w:numPr>
        <w:rPr/>
      </w:pPr>
      <w:r>
        <w:rPr/>
        <w:t>PG&amp;E - billing as a Surcharge to all customers, including direct access</w:t>
      </w:r>
    </w:p>
    <w:p>
      <w:pPr>
        <w:pStyle w:val="Normal"/>
        <w:numPr>
          <w:ilvl w:val="2"/>
          <w:numId w:val="6"/>
        </w:numPr>
        <w:rPr/>
      </w:pPr>
      <w:r>
        <w:rPr/>
        <w:t>SCE - including the Surcharge in its Generation rate and then netting it out for direct access customers in the Procured Energy credit</w:t>
      </w:r>
    </w:p>
    <w:p>
      <w:pPr>
        <w:pStyle w:val="Normal"/>
        <w:rPr/>
      </w:pPr>
      <w:r>
        <w:rPr/>
      </w:r>
    </w:p>
    <w:p>
      <w:pPr>
        <w:pStyle w:val="Normal"/>
        <w:numPr>
          <w:ilvl w:val="0"/>
          <w:numId w:val="4"/>
        </w:numPr>
        <w:rPr/>
      </w:pPr>
      <w:r>
        <w:rPr>
          <w:b/>
          <w:bCs/>
        </w:rPr>
        <w:t xml:space="preserve">3 c/kwh Energy Surcharge (March 27, 2001) </w:t>
      </w:r>
      <w:r>
        <w:rPr/>
        <w:t xml:space="preserve">– </w:t>
      </w:r>
    </w:p>
    <w:p>
      <w:pPr>
        <w:pStyle w:val="BodyTextIndent"/>
        <w:numPr>
          <w:ilvl w:val="1"/>
          <w:numId w:val="5"/>
        </w:numPr>
        <w:rPr/>
      </w:pPr>
      <w:r>
        <w:rPr/>
        <w:t>Instituted 3 c/kwh surcharge for PG&amp;E and SCE customers (except for certain residential accounts and residential usage below 130% of baseline);</w:t>
      </w:r>
    </w:p>
    <w:p>
      <w:pPr>
        <w:pStyle w:val="BodyTextIndent"/>
        <w:numPr>
          <w:ilvl w:val="1"/>
          <w:numId w:val="5"/>
        </w:numPr>
        <w:rPr/>
      </w:pPr>
      <w:r>
        <w:rPr/>
        <w:t>Makes permanent the previous 1 c/kwh Interim Emergency Procurement Surcharge;</w:t>
      </w:r>
    </w:p>
    <w:p>
      <w:pPr>
        <w:pStyle w:val="BodyTextIndent"/>
        <w:numPr>
          <w:ilvl w:val="1"/>
          <w:numId w:val="5"/>
        </w:numPr>
        <w:rPr/>
      </w:pPr>
      <w:r>
        <w:rPr/>
        <w:t>Established for the purpose of paying future power costs with a portion to be allocated to CDWR’s revenue requirements;</w:t>
      </w:r>
    </w:p>
    <w:p>
      <w:pPr>
        <w:pStyle w:val="BodyTextIndent"/>
        <w:numPr>
          <w:ilvl w:val="1"/>
          <w:numId w:val="5"/>
        </w:numPr>
        <w:rPr/>
      </w:pPr>
      <w:r>
        <w:rPr/>
        <w:t>Surcharge was designed to reinforce price signals by placing more of the increase in summer, on-peak periods;</w:t>
      </w:r>
    </w:p>
    <w:p>
      <w:pPr>
        <w:pStyle w:val="BodyTextIndent"/>
        <w:numPr>
          <w:ilvl w:val="1"/>
          <w:numId w:val="5"/>
        </w:numPr>
        <w:rPr/>
      </w:pPr>
      <w:r>
        <w:rPr/>
        <w:t>Billing began June 1; under-collection due March 27 – June 1 is amortized over a 12-month period beginning June, 2001.</w:t>
      </w:r>
    </w:p>
    <w:p>
      <w:pPr>
        <w:pStyle w:val="BodyTextIndent"/>
        <w:numPr>
          <w:ilvl w:val="1"/>
          <w:numId w:val="5"/>
        </w:numPr>
        <w:rPr/>
      </w:pPr>
      <w:r>
        <w:rPr/>
        <w:t>Explicitly identified as not applying to direct access customers.</w:t>
      </w:r>
    </w:p>
    <w:p>
      <w:pPr>
        <w:pStyle w:val="Normal"/>
        <w:rPr/>
      </w:pPr>
      <w:r>
        <w:rPr/>
      </w:r>
    </w:p>
    <w:p>
      <w:pPr>
        <w:pStyle w:val="Normal"/>
        <w:numPr>
          <w:ilvl w:val="0"/>
          <w:numId w:val="4"/>
        </w:numPr>
        <w:rPr/>
      </w:pPr>
      <w:r>
        <w:rPr>
          <w:b/>
          <w:bCs/>
        </w:rPr>
        <w:t xml:space="preserve">Direct Access </w:t>
      </w:r>
      <w:r>
        <w:rPr/>
        <w:t xml:space="preserve">– </w:t>
      </w:r>
    </w:p>
    <w:p>
      <w:pPr>
        <w:pStyle w:val="Normal"/>
        <w:numPr>
          <w:ilvl w:val="1"/>
          <w:numId w:val="4"/>
        </w:numPr>
        <w:rPr/>
      </w:pPr>
      <w:r>
        <w:rPr/>
        <w:t xml:space="preserve">AB1890 provided all end-use consumers in the service territory of PG&amp;E, SCE, and SDG&amp;E with direct access to competitive Electric Service Providers (“ESPs”); </w:t>
      </w:r>
    </w:p>
    <w:p>
      <w:pPr>
        <w:pStyle w:val="Normal"/>
        <w:numPr>
          <w:ilvl w:val="1"/>
          <w:numId w:val="4"/>
        </w:numPr>
        <w:rPr/>
      </w:pPr>
      <w:r>
        <w:rPr/>
        <w:t xml:space="preserve">End-use consumers in Public Power territories (e.g., LADWP, SMUD, etc.) do not have direct access; </w:t>
      </w:r>
    </w:p>
    <w:p>
      <w:pPr>
        <w:pStyle w:val="Normal"/>
        <w:numPr>
          <w:ilvl w:val="1"/>
          <w:numId w:val="4"/>
        </w:numPr>
        <w:rPr/>
      </w:pPr>
      <w:r>
        <w:rPr/>
        <w:t xml:space="preserve">AB1X (which passed in February, 2001) required the CPUC to establish a date after which Direct Access would no longer be available to end-use consumers so that California Division of Water Resources (“CDWR”) would have secure revenues to pay for power contracts; </w:t>
      </w:r>
    </w:p>
    <w:p>
      <w:pPr>
        <w:pStyle w:val="Normal"/>
        <w:numPr>
          <w:ilvl w:val="1"/>
          <w:numId w:val="4"/>
        </w:numPr>
        <w:rPr/>
      </w:pPr>
      <w:r>
        <w:rPr/>
        <w:t xml:space="preserve">The CPUC has not yet established the direct access suspension date although the CPUC issued a Proposed Decision that would establish the date as July 1, 2001; </w:t>
      </w:r>
    </w:p>
    <w:p>
      <w:pPr>
        <w:pStyle w:val="Normal"/>
        <w:numPr>
          <w:ilvl w:val="1"/>
          <w:numId w:val="4"/>
        </w:numPr>
        <w:rPr/>
      </w:pPr>
      <w:r>
        <w:rPr/>
        <w:t xml:space="preserve">The CPUC delayed its decision pending potential legislative fixes to AB1X (fixes would have continued direct access but required a payment of exit fees and/or surcharges to maintain CDWR cash flows).  The Legislature appears unable to take any actions on electricity reform, including modifications to AB1X.  </w:t>
      </w:r>
    </w:p>
    <w:p>
      <w:pPr>
        <w:pStyle w:val="Normal"/>
        <w:rPr/>
      </w:pPr>
      <w:r>
        <w:rPr/>
      </w:r>
    </w:p>
    <w:p>
      <w:pPr>
        <w:pStyle w:val="Normal"/>
        <w:rPr/>
      </w:pPr>
      <w:r>
        <w:rPr/>
      </w:r>
      <w:r>
        <w:br w:type="page"/>
      </w:r>
    </w:p>
    <w:p>
      <w:pPr>
        <w:pStyle w:val="Normal"/>
        <w:jc w:val="center"/>
        <w:rPr>
          <w:b/>
          <w:bCs/>
        </w:rPr>
      </w:pPr>
      <w:r>
        <w:rPr>
          <w:b/>
          <w:bCs/>
        </w:rPr>
        <w:t>UPCOMING ISSUES AND RECOMMENDATIONS</w:t>
      </w:r>
    </w:p>
    <w:p>
      <w:pPr>
        <w:pStyle w:val="Subtitle"/>
        <w:rPr>
          <w:b w:val="false"/>
          <w:bCs w:val="false"/>
        </w:rPr>
      </w:pPr>
      <w:r>
        <w:rPr>
          <w:b w:val="false"/>
          <w:bCs w:val="false"/>
        </w:rPr>
      </w:r>
    </w:p>
    <w:p>
      <w:pPr>
        <w:pStyle w:val="Heading2"/>
        <w:ind w:hanging="720" w:start="720" w:end="0"/>
        <w:jc w:val="start"/>
        <w:rPr/>
      </w:pPr>
      <w:r>
        <w:rPr/>
        <w:t>1.</w:t>
        <w:tab/>
        <w:t>Complete the calculation of the Utility’s Stranded Cost claims and end the retail rate freeze</w:t>
      </w:r>
    </w:p>
    <w:p>
      <w:pPr>
        <w:pStyle w:val="Normal"/>
        <w:rPr/>
      </w:pPr>
      <w:r>
        <w:rPr/>
      </w:r>
    </w:p>
    <w:p>
      <w:pPr>
        <w:pStyle w:val="Normal"/>
        <w:rPr/>
      </w:pPr>
      <w:r>
        <w:rPr/>
        <w:t>Recommendation:</w:t>
        <w:tab/>
        <w:t xml:space="preserve">The CPUC must determine a final figure for the Utility’s stranded costs.  Enron should continue advocating use of regulatory accounting principles as regards the stranded cost claims that </w:t>
      </w:r>
      <w:r>
        <w:rPr>
          <w:b/>
          <w:bCs/>
        </w:rPr>
        <w:t>result in the AB1890 Retail Rate Freeze staying in place through March 31, 2002</w:t>
      </w:r>
      <w:r>
        <w:rPr/>
        <w:t>.  At a minimum, Enron should support only a prospective end to the AB1890 Retail Rate Freeze.</w:t>
      </w:r>
    </w:p>
    <w:p>
      <w:pPr>
        <w:pStyle w:val="Normal"/>
        <w:rPr/>
      </w:pPr>
      <w:r>
        <w:rPr/>
      </w:r>
    </w:p>
    <w:p>
      <w:pPr>
        <w:pStyle w:val="Normal"/>
        <w:rPr/>
      </w:pPr>
      <w:r>
        <w:rPr/>
        <w:t>Pro:  Maximizes legitimacy of our Negative CTC claim.  Delays additional retail rate increases for customers (including potentially to Direct Access customers).</w:t>
      </w:r>
    </w:p>
    <w:p>
      <w:pPr>
        <w:pStyle w:val="Normal"/>
        <w:rPr/>
      </w:pPr>
      <w:r>
        <w:rPr/>
      </w:r>
    </w:p>
    <w:p>
      <w:pPr>
        <w:pStyle w:val="Normal"/>
        <w:rPr/>
      </w:pPr>
      <w:r>
        <w:rPr/>
        <w:t xml:space="preserve">Con:  Delays bottoms-up unbundling and prolongs the application of the PX Credit and residual CTC approach. Maximizes Utility responsibility for past Undercollections.  </w:t>
      </w:r>
    </w:p>
    <w:p>
      <w:pPr>
        <w:pStyle w:val="Normal"/>
        <w:rPr/>
      </w:pPr>
      <w:r>
        <w:rPr/>
      </w:r>
    </w:p>
    <w:p>
      <w:pPr>
        <w:pStyle w:val="Heading2"/>
        <w:ind w:hanging="0" w:start="0"/>
        <w:jc w:val="start"/>
        <w:rPr/>
      </w:pPr>
      <w:r>
        <w:rPr/>
        <w:t>2.</w:t>
        <w:tab/>
        <w:t xml:space="preserve">Define a workable PX Credit Methodology </w:t>
      </w:r>
    </w:p>
    <w:p>
      <w:pPr>
        <w:pStyle w:val="Normal"/>
        <w:rPr/>
      </w:pPr>
      <w:r>
        <w:rPr/>
      </w:r>
    </w:p>
    <w:p>
      <w:pPr>
        <w:pStyle w:val="Normal"/>
        <w:rPr/>
      </w:pPr>
      <w:r>
        <w:rPr/>
        <w:t>Recommendation:</w:t>
        <w:tab/>
        <w:t xml:space="preserve">Enron should </w:t>
      </w:r>
      <w:r>
        <w:rPr>
          <w:b/>
          <w:bCs/>
        </w:rPr>
        <w:t>support the SCE cost-based model</w:t>
      </w:r>
      <w:r>
        <w:rPr/>
        <w:t xml:space="preserve"> after verifying that this model results in no CTC (this would entail a modification of our current position before the CPUC which argues for market-based PX Credit).  </w:t>
      </w:r>
    </w:p>
    <w:p>
      <w:pPr>
        <w:pStyle w:val="Normal"/>
        <w:rPr/>
      </w:pPr>
      <w:r>
        <w:rPr/>
      </w:r>
    </w:p>
    <w:p>
      <w:pPr>
        <w:pStyle w:val="Normal"/>
        <w:rPr/>
      </w:pPr>
      <w:r>
        <w:rPr/>
        <w:t xml:space="preserve">Pro:  Market priced model will not necessarily generate Negative CTC (and if it does, it is highly unlikely that ESPs receive Negative CTC post January).  Removes the likelihood of positive CTC. </w:t>
      </w:r>
    </w:p>
    <w:p>
      <w:pPr>
        <w:pStyle w:val="Normal"/>
        <w:rPr/>
      </w:pPr>
      <w:r>
        <w:rPr/>
      </w:r>
    </w:p>
    <w:p>
      <w:pPr>
        <w:pStyle w:val="Normal"/>
        <w:rPr/>
      </w:pPr>
      <w:r>
        <w:rPr/>
        <w:t>Con:  Change of direction.</w:t>
      </w:r>
    </w:p>
    <w:p>
      <w:pPr>
        <w:pStyle w:val="Normal"/>
        <w:rPr/>
      </w:pPr>
      <w:r>
        <w:rPr/>
      </w:r>
    </w:p>
    <w:p>
      <w:pPr>
        <w:pStyle w:val="Heading2"/>
        <w:ind w:hanging="0" w:start="0"/>
        <w:jc w:val="start"/>
        <w:rPr/>
      </w:pPr>
      <w:r>
        <w:rPr/>
        <w:t>3.</w:t>
        <w:tab/>
        <w:t>Keep Direct Access</w:t>
      </w:r>
    </w:p>
    <w:p>
      <w:pPr>
        <w:pStyle w:val="Normal"/>
        <w:rPr/>
      </w:pPr>
      <w:r>
        <w:rPr/>
      </w:r>
    </w:p>
    <w:p>
      <w:pPr>
        <w:pStyle w:val="Normal"/>
        <w:rPr/>
      </w:pPr>
      <w:r>
        <w:rPr/>
        <w:t>Recommendation:</w:t>
        <w:tab/>
        <w:t xml:space="preserve">Enron should </w:t>
      </w:r>
      <w:r>
        <w:rPr>
          <w:b/>
          <w:bCs/>
        </w:rPr>
        <w:t>continue to advocate for continuation of Direct Access</w:t>
      </w:r>
      <w:r>
        <w:rPr/>
        <w:t xml:space="preserve">, with exit fees if necessary to cover unavoidable CDWR costs.  Enron should push for </w:t>
      </w:r>
      <w:r>
        <w:rPr>
          <w:b/>
          <w:bCs/>
        </w:rPr>
        <w:t xml:space="preserve">a core/non-core model beginning January 1, 2003.  </w:t>
      </w:r>
    </w:p>
    <w:p>
      <w:pPr>
        <w:pStyle w:val="Normal"/>
        <w:rPr/>
      </w:pPr>
      <w:r>
        <w:rPr/>
      </w:r>
    </w:p>
    <w:p>
      <w:pPr>
        <w:pStyle w:val="Normal"/>
        <w:rPr/>
      </w:pPr>
      <w:r>
        <w:rPr/>
        <w:t>Pro:  Supports our pro-market interests.  Maintains future business opportunities.</w:t>
      </w:r>
    </w:p>
    <w:p>
      <w:pPr>
        <w:pStyle w:val="Normal"/>
        <w:rPr/>
      </w:pPr>
      <w:r>
        <w:rPr/>
      </w:r>
    </w:p>
    <w:p>
      <w:pPr>
        <w:pStyle w:val="Normal"/>
        <w:rPr/>
      </w:pPr>
      <w:r>
        <w:rPr/>
        <w:t xml:space="preserve">Con:  Endangers CDWR bond financing.  Creates potential for future stranded costs.  </w:t>
      </w:r>
    </w:p>
    <w:p>
      <w:pPr>
        <w:pStyle w:val="Normal"/>
        <w:rPr/>
      </w:pPr>
      <w:r>
        <w:rPr/>
      </w:r>
    </w:p>
    <w:p>
      <w:pPr>
        <w:pStyle w:val="BodyText2"/>
        <w:ind w:hanging="720" w:start="720" w:end="0"/>
        <w:rPr>
          <w:bCs/>
        </w:rPr>
      </w:pPr>
      <w:r>
        <w:rPr>
          <w:bCs/>
        </w:rPr>
        <w:t>4.</w:t>
        <w:tab/>
        <w:t>Allow recovery of past Utility Undercollection</w:t>
      </w:r>
    </w:p>
    <w:p>
      <w:pPr>
        <w:pStyle w:val="Normal"/>
        <w:rPr>
          <w:bCs/>
        </w:rPr>
      </w:pPr>
      <w:r>
        <w:rPr>
          <w:bCs/>
        </w:rPr>
      </w:r>
    </w:p>
    <w:p>
      <w:pPr>
        <w:pStyle w:val="Normal"/>
        <w:rPr/>
      </w:pPr>
      <w:r>
        <w:rPr/>
        <w:t>Recommendation:</w:t>
        <w:tab/>
        <w:t xml:space="preserve">Utilities have $ billions in unrecovered costs related to wholesale purchases.  Given whatever level of cost recovery is deemed appropriate, Enron should </w:t>
      </w:r>
      <w:r>
        <w:rPr>
          <w:b/>
          <w:bCs/>
        </w:rPr>
        <w:t>advocate for</w:t>
      </w:r>
      <w:r>
        <w:rPr/>
        <w:t xml:space="preserve"> </w:t>
      </w:r>
      <w:r>
        <w:rPr>
          <w:b/>
          <w:bCs/>
        </w:rPr>
        <w:t>recovery of past Utility Undercollections through a non-bypassable surcharge applicable to all consumers</w:t>
      </w:r>
      <w:r>
        <w:rPr/>
        <w:t xml:space="preserve">, beginning with the end of the rate freeze and continuing through as long a period as possible.  </w:t>
      </w:r>
    </w:p>
    <w:p>
      <w:pPr>
        <w:pStyle w:val="Normal"/>
        <w:rPr/>
      </w:pPr>
      <w:r>
        <w:rPr/>
      </w:r>
    </w:p>
    <w:p>
      <w:pPr>
        <w:pStyle w:val="Normal"/>
        <w:rPr/>
      </w:pPr>
      <w:r>
        <w:rPr/>
        <w:t>Pro:  Provides funds for Utility repayment of Negative CTC claim.</w:t>
      </w:r>
    </w:p>
    <w:p>
      <w:pPr>
        <w:pStyle w:val="Normal"/>
        <w:rPr/>
      </w:pPr>
      <w:r>
        <w:rPr/>
      </w:r>
    </w:p>
    <w:p>
      <w:pPr>
        <w:pStyle w:val="Normal"/>
        <w:rPr/>
      </w:pPr>
      <w:r>
        <w:rPr/>
        <w:t xml:space="preserve">Con:  Creates costs potentially paid by Enron.  </w:t>
      </w:r>
    </w:p>
    <w:p>
      <w:pPr>
        <w:pStyle w:val="Normal"/>
        <w:rPr/>
      </w:pPr>
      <w:r>
        <w:rPr/>
      </w:r>
    </w:p>
    <w:p>
      <w:pPr>
        <w:pStyle w:val="BodyText2"/>
        <w:ind w:hanging="720" w:start="720" w:end="0"/>
        <w:rPr>
          <w:bCs/>
        </w:rPr>
      </w:pPr>
      <w:r>
        <w:rPr>
          <w:bCs/>
        </w:rPr>
        <w:t>5.</w:t>
        <w:tab/>
        <w:t>Define reasonable cost recovery plan for post rate freeze environment</w:t>
      </w:r>
    </w:p>
    <w:p>
      <w:pPr>
        <w:pStyle w:val="Normal"/>
        <w:rPr>
          <w:bCs/>
        </w:rPr>
      </w:pPr>
      <w:r>
        <w:rPr>
          <w:bCs/>
        </w:rPr>
      </w:r>
    </w:p>
    <w:p>
      <w:pPr>
        <w:pStyle w:val="BodyTextIndent"/>
        <w:ind w:hanging="0" w:start="0" w:end="0"/>
        <w:rPr/>
      </w:pPr>
      <w:r>
        <w:rPr/>
        <w:t>Recommendation:</w:t>
        <w:tab/>
        <w:t xml:space="preserve">Enron should </w:t>
      </w:r>
      <w:r>
        <w:rPr>
          <w:b/>
          <w:bCs/>
        </w:rPr>
        <w:t>advocate for complete rate unbundling and default service option at market</w:t>
      </w:r>
      <w:r>
        <w:rPr/>
        <w:t xml:space="preserve"> after the rate freeze ends.  Included in this process </w:t>
      </w:r>
      <w:r>
        <w:rPr>
          <w:b/>
          <w:bCs/>
        </w:rPr>
        <w:t>would be a termination of the 3 c/kwh and 1 c/kwh procurement surcharges</w:t>
      </w:r>
      <w:r>
        <w:rPr/>
        <w:t xml:space="preserve">.  Customers who do not shop for power would pay all unbundled components (generation, transmission, distribution, system benefit, etc.).  Direct access customers would pay only transportation-related components.  </w:t>
      </w:r>
    </w:p>
    <w:p>
      <w:pPr>
        <w:pStyle w:val="Normal"/>
        <w:rPr/>
      </w:pPr>
      <w:r>
        <w:rPr/>
      </w:r>
    </w:p>
    <w:p>
      <w:pPr>
        <w:pStyle w:val="Normal"/>
        <w:rPr/>
      </w:pPr>
      <w:r>
        <w:rPr/>
        <w:t>Pro:  Promotes marketplace and allows consumers to recognize real costs of “doing nothing”.</w:t>
      </w:r>
    </w:p>
    <w:p>
      <w:pPr>
        <w:pStyle w:val="Normal"/>
        <w:rPr/>
      </w:pPr>
      <w:r>
        <w:rPr/>
      </w:r>
    </w:p>
    <w:p>
      <w:pPr>
        <w:pStyle w:val="Normal"/>
        <w:rPr/>
      </w:pPr>
      <w:r>
        <w:rPr/>
        <w:t xml:space="preserve">Con:  Reduces value of regulatory switching option.  </w:t>
      </w:r>
    </w:p>
    <w:p>
      <w:pPr>
        <w:pStyle w:val="Normal"/>
        <w:rPr/>
      </w:pPr>
      <w:r>
        <w:rPr/>
      </w:r>
    </w:p>
    <w:p>
      <w:pPr>
        <w:pStyle w:val="BodyText2"/>
        <w:ind w:hanging="720" w:start="720" w:end="0"/>
        <w:rPr>
          <w:bCs/>
        </w:rPr>
      </w:pPr>
      <w:r>
        <w:rPr>
          <w:bCs/>
        </w:rPr>
        <w:t>6.</w:t>
        <w:tab/>
        <w:t>End application of 1 c/kwh Surcharge to direct access customers</w:t>
      </w:r>
    </w:p>
    <w:p>
      <w:pPr>
        <w:pStyle w:val="Normal"/>
        <w:rPr>
          <w:bCs/>
        </w:rPr>
      </w:pPr>
      <w:r>
        <w:rPr>
          <w:bCs/>
        </w:rPr>
      </w:r>
    </w:p>
    <w:p>
      <w:pPr>
        <w:pStyle w:val="Normal"/>
        <w:rPr/>
      </w:pPr>
      <w:r>
        <w:rPr/>
        <w:t>Recommendation:</w:t>
        <w:tab/>
        <w:t>To this point, the CPUC has ordered that direct access customers pay the 1 c/kwh Surcharge.  Enron should</w:t>
      </w:r>
      <w:r>
        <w:rPr>
          <w:b/>
          <w:bCs/>
        </w:rPr>
        <w:t xml:space="preserve"> seek modification that the 1 c/kwh Surcharge does not apply to direct access customers</w:t>
      </w:r>
      <w:r>
        <w:rPr/>
        <w:t>, but use its current and past application to argue that direct access customers have already paid more than their fair share of current CDWR costs and should not have to pay any CDWR costs after April 1, 2002.</w:t>
      </w:r>
    </w:p>
    <w:p>
      <w:pPr>
        <w:pStyle w:val="Normal"/>
        <w:rPr/>
      </w:pPr>
      <w:r>
        <w:rPr/>
      </w:r>
    </w:p>
    <w:p>
      <w:pPr>
        <w:pStyle w:val="Normal"/>
        <w:rPr/>
      </w:pPr>
      <w:r>
        <w:rPr/>
        <w:t xml:space="preserve">Pro:  Supports our current market position. </w:t>
      </w:r>
    </w:p>
    <w:p>
      <w:pPr>
        <w:pStyle w:val="Normal"/>
        <w:rPr/>
      </w:pPr>
      <w:r>
        <w:rPr/>
      </w:r>
    </w:p>
    <w:p>
      <w:pPr>
        <w:pStyle w:val="Normal"/>
        <w:rPr/>
      </w:pPr>
      <w:r>
        <w:rPr/>
        <w:t xml:space="preserve">Con:  Change of position.  May impact concept of “tax” in our contracts.  </w:t>
      </w:r>
    </w:p>
    <w:p>
      <w:pPr>
        <w:pStyle w:val="Normal"/>
        <w:rPr/>
      </w:pPr>
      <w:r>
        <w:rPr/>
      </w:r>
    </w:p>
    <w:p>
      <w:pPr>
        <w:pStyle w:val="Heading2"/>
        <w:ind w:hanging="720" w:start="720" w:end="0"/>
        <w:jc w:val="start"/>
        <w:rPr/>
      </w:pPr>
      <w:r>
        <w:rPr/>
        <w:t>7.</w:t>
        <w:tab/>
        <w:t>Ensure that upcoming rate increase for SDG&amp;E is not applicable to direct access customers</w:t>
      </w:r>
    </w:p>
    <w:p>
      <w:pPr>
        <w:pStyle w:val="Normal"/>
        <w:rPr/>
      </w:pPr>
      <w:r>
        <w:rPr/>
      </w:r>
    </w:p>
    <w:p>
      <w:pPr>
        <w:pStyle w:val="Normal"/>
        <w:rPr/>
      </w:pPr>
      <w:r>
        <w:rPr/>
        <w:t xml:space="preserve">Recommendation: </w:t>
        <w:tab/>
        <w:t xml:space="preserve">CPUC will decide on rate increase for SDG&amp;E at its August 23, 2001 meeting.  Increase would be SDG&amp;E counterpart to 3 c/kwh Surcharge for PG&amp;E and SCE.  Enron must </w:t>
      </w:r>
      <w:r>
        <w:rPr>
          <w:b/>
          <w:bCs/>
        </w:rPr>
        <w:t>advocate that this Surcharge does not apply to direct access customers</w:t>
      </w:r>
      <w:r>
        <w:rPr/>
        <w:t xml:space="preserve"> and that cost under-recovery related to the 6.5 c/kwh legislated rate freeze for large customers is not borne by direct access customers.</w:t>
      </w:r>
    </w:p>
    <w:p>
      <w:pPr>
        <w:pStyle w:val="Normal"/>
        <w:rPr/>
      </w:pPr>
      <w:r>
        <w:rPr/>
      </w:r>
    </w:p>
    <w:p>
      <w:pPr>
        <w:pStyle w:val="Normal"/>
        <w:rPr/>
      </w:pPr>
      <w:r>
        <w:rPr/>
        <w:t>Pro:  Supports our current market position.</w:t>
      </w:r>
    </w:p>
    <w:p>
      <w:pPr>
        <w:pStyle w:val="Normal"/>
        <w:rPr/>
      </w:pPr>
      <w:r>
        <w:rPr/>
      </w:r>
    </w:p>
    <w:p>
      <w:pPr>
        <w:pStyle w:val="Normal"/>
        <w:rPr/>
      </w:pPr>
      <w:r>
        <w:rPr/>
        <w:t xml:space="preserve">Con:  None identified.  </w:t>
      </w:r>
    </w:p>
    <w:p>
      <w:pPr>
        <w:pStyle w:val="Normal"/>
        <w:rPr/>
      </w:pPr>
      <w:r>
        <w:rPr/>
      </w:r>
    </w:p>
    <w:p>
      <w:pPr>
        <w:pStyle w:val="Normal"/>
        <w:rPr/>
      </w:pPr>
      <w:r>
        <w:rPr/>
      </w:r>
      <w:r>
        <w:br w:type="page"/>
      </w:r>
    </w:p>
    <w:p>
      <w:pPr>
        <w:pStyle w:val="Heading2"/>
        <w:ind w:hanging="0" w:start="0"/>
        <w:rPr/>
      </w:pPr>
      <w:r>
        <w:rPr/>
        <w:t xml:space="preserve">LEGISLATIVE AND REGULATORY HISTORY </w:t>
      </w:r>
    </w:p>
    <w:p>
      <w:pPr>
        <w:pStyle w:val="Heading2"/>
        <w:ind w:hanging="0" w:start="0"/>
        <w:rPr/>
      </w:pPr>
      <w:r>
        <w:rPr/>
        <w:t>OF CALIFORNIA RESTRUCTURING</w:t>
      </w:r>
    </w:p>
    <w:p>
      <w:pPr>
        <w:pStyle w:val="Normal"/>
        <w:rPr/>
      </w:pPr>
      <w:r>
        <w:rPr/>
      </w:r>
    </w:p>
    <w:p>
      <w:pPr>
        <w:pStyle w:val="Normal"/>
        <w:rPr>
          <w:b/>
        </w:rPr>
      </w:pPr>
      <w:r>
        <w:rPr>
          <w:b/>
        </w:rPr>
        <w:t>September 1996 – AB1890 Passes</w:t>
      </w:r>
    </w:p>
    <w:p>
      <w:pPr>
        <w:pStyle w:val="Normal"/>
        <w:rPr>
          <w:b/>
        </w:rPr>
      </w:pPr>
      <w:r>
        <w:rPr>
          <w:b/>
        </w:rPr>
      </w:r>
    </w:p>
    <w:p>
      <w:pPr>
        <w:pStyle w:val="Normal"/>
        <w:ind w:hanging="720" w:start="720" w:end="0"/>
        <w:rPr/>
      </w:pPr>
      <w:r>
        <w:rPr>
          <w:rFonts w:eastAsia="Symbol" w:cs="Symbol" w:ascii="Symbol" w:hAnsi="Symbol"/>
        </w:rPr>
        <w:sym w:font="Symbol" w:char="f0b7"/>
      </w:r>
      <w:r>
        <w:rPr/>
        <w:tab/>
        <w:t xml:space="preserve">AB1890 establishes Direct Access.  Establishes the Power Exchange (CalPX) and Independent System Operator (CAISO).  Section 367 allows the utilities the opportunity (but not the right) to recover certain generation-related costs that are expected to be uneconomic as a result of a competitive market. Section 368 asks each utility to propose a “cost recovery plan” for collecting the uneconomic costs and freezes retail rates at June 1996 levels.  The collection mechanism adopted was from an MOU signed among PG&amp;E, major customer groups and the Independent Energy Producers of California. The mechanism dictated that each customer’s bill would be capped at the frozen retail rate and the bill would comprise separate components, such as T, D, energy and “recovery of uneconomic costs” called “competitive transition charges” (“CTC”) in CPUC decisions implementing the MOU and the legislation.)  The legislation did not require the CPUC to determine the amount of uneconomic costs to recover until after they were collected.  Also, Section 368(b) specifies that the energy charge in each customer’s bill is a variable number and requires that the separation of each customer’s bill into components could create no cost shifting among customer classes. </w:t>
      </w:r>
    </w:p>
    <w:p>
      <w:pPr>
        <w:pStyle w:val="Normal"/>
        <w:ind w:hanging="720" w:start="720" w:end="0"/>
        <w:rPr/>
      </w:pPr>
      <w:r>
        <w:rPr/>
      </w:r>
    </w:p>
    <w:p>
      <w:pPr>
        <w:pStyle w:val="Normal"/>
        <w:rPr>
          <w:b/>
        </w:rPr>
      </w:pPr>
      <w:r>
        <w:rPr>
          <w:b/>
        </w:rPr>
        <w:t xml:space="preserve">August 1997  - CPUC Decision on Calculating PX Credit (D. 98-08-056)  </w:t>
      </w:r>
    </w:p>
    <w:p>
      <w:pPr>
        <w:pStyle w:val="Normal"/>
        <w:rPr>
          <w:b/>
        </w:rPr>
      </w:pPr>
      <w:r>
        <w:rPr>
          <w:b/>
        </w:rPr>
      </w:r>
    </w:p>
    <w:p>
      <w:pPr>
        <w:pStyle w:val="Normal"/>
        <w:ind w:hanging="720" w:start="720" w:end="0"/>
        <w:rPr/>
      </w:pPr>
      <w:r>
        <w:rPr>
          <w:rFonts w:eastAsia="Symbol" w:cs="Symbol" w:ascii="Symbol" w:hAnsi="Symbol"/>
        </w:rPr>
        <w:sym w:font="Symbol" w:char="f0b7"/>
      </w:r>
      <w:r>
        <w:rPr/>
        <w:tab/>
        <w:t xml:space="preserve">According to the decision, each UDC presented a method for the calculation of the PX energy charge (which was also to form the basis for the credit provided to direct access customers).  The Commission adopted the proposal presented by SCE which, according to the decision, was comprised of  (1) using the weighted average of the day-ahead and hour ahead prices, adjusted for administrative costs, settlements, ancillary services and congestion fees; (2) adding settlement costs to the PX energy charge in the following billing period; and (3) incorporating costs that are assigned to all scheduling coordinators into the PX energy charge.    </w:t>
      </w:r>
    </w:p>
    <w:p>
      <w:pPr>
        <w:pStyle w:val="Normal"/>
        <w:ind w:hanging="720" w:start="720" w:end="0"/>
        <w:rPr/>
      </w:pPr>
      <w:r>
        <w:rPr/>
      </w:r>
    </w:p>
    <w:p>
      <w:pPr>
        <w:pStyle w:val="Normal"/>
        <w:ind w:hanging="720" w:start="720" w:end="0"/>
        <w:rPr/>
      </w:pPr>
      <w:r>
        <w:rPr/>
        <w:tab/>
        <w:t xml:space="preserve">The Commission also adopted an averaged CTC rate for all customers by implementing an average, ex post, energy cost for utility service customers through the residual calculation of CTC. Averaging is to be done first on a weekly basis and then a rolling average of four weeks to cover the different monthly billing cycles for different customers.  The series of approximately one-month averages of PX energy costs is used to calculate residually the corresponding averaged CTC on a billing cycle basis.        </w:t>
      </w:r>
    </w:p>
    <w:p>
      <w:pPr>
        <w:pStyle w:val="Normal"/>
        <w:rPr>
          <w:b/>
        </w:rPr>
      </w:pPr>
      <w:r>
        <w:rPr>
          <w:b/>
        </w:rPr>
      </w:r>
      <w:r>
        <w:br w:type="page"/>
      </w:r>
    </w:p>
    <w:p>
      <w:pPr>
        <w:pStyle w:val="Normal"/>
        <w:rPr>
          <w:b/>
        </w:rPr>
      </w:pPr>
      <w:r>
        <w:rPr>
          <w:b/>
        </w:rPr>
        <w:t>August 1997 - PG&amp;E Advice Letter Filing In Compliance with Decision 97-08-056</w:t>
      </w:r>
    </w:p>
    <w:p>
      <w:pPr>
        <w:pStyle w:val="Normal"/>
        <w:rPr>
          <w:b/>
        </w:rPr>
      </w:pPr>
      <w:r>
        <w:rPr>
          <w:b/>
        </w:rPr>
      </w:r>
    </w:p>
    <w:p>
      <w:pPr>
        <w:pStyle w:val="Normal"/>
        <w:ind w:hanging="720" w:start="720" w:end="0"/>
        <w:rPr/>
      </w:pPr>
      <w:r>
        <w:rPr>
          <w:rFonts w:eastAsia="Symbol" w:cs="Symbol" w:ascii="Symbol" w:hAnsi="Symbol"/>
        </w:rPr>
        <w:sym w:font="Symbol" w:char="f0b7"/>
      </w:r>
      <w:r>
        <w:rPr/>
        <w:tab/>
        <w:t>In its initial Advice Filing in compliance with Decision 97-08-056 (AL 1692-E) apparently PG&amp;E did not file detailed information regarding the development of the PX energy charge as required.</w:t>
      </w:r>
    </w:p>
    <w:p>
      <w:pPr>
        <w:pStyle w:val="Normal"/>
        <w:rPr/>
      </w:pPr>
      <w:r>
        <w:rPr/>
      </w:r>
    </w:p>
    <w:p>
      <w:pPr>
        <w:pStyle w:val="Normal"/>
        <w:ind w:hanging="720" w:start="720" w:end="0"/>
        <w:rPr/>
      </w:pPr>
      <w:r>
        <w:rPr>
          <w:rFonts w:eastAsia="Symbol" w:cs="Symbol" w:ascii="Symbol" w:hAnsi="Symbol"/>
        </w:rPr>
        <w:sym w:font="Symbol" w:char="f0b7"/>
      </w:r>
      <w:r>
        <w:rPr/>
        <w:tab/>
        <w:t xml:space="preserve">In advice filing 1692 E-A (filed on September 10, 1997) PG&amp;E set forth Schedule PX.  In the filing, it stated that the PX cost used for billing would consist of the weighted average forward market cost plus real time market costs.  The total costs for service obtained through PX were defined to include, but not to be limited to: (a) energy, including inter-zonal congestion fees; (b) spinning reserves; (c) non-spinning reserve; (d) automatic generator control/regulation; (e) replacement reserve; (f) voltage support; (g) black start capability; (h) independent system operator; (i) PX administration costs.  Real time market costs were described as those incremental to hourly costs incurred for the purpose of acquiring power for PG&amp;E customers for the trading day.  The sum of the average of the hourly and real-time costs was adjusted for distribution loss factors. </w:t>
      </w:r>
    </w:p>
    <w:p>
      <w:pPr>
        <w:pStyle w:val="Normal"/>
        <w:rPr/>
      </w:pPr>
      <w:r>
        <w:rPr/>
      </w:r>
    </w:p>
    <w:p>
      <w:pPr>
        <w:pStyle w:val="Normal"/>
        <w:rPr>
          <w:b/>
        </w:rPr>
      </w:pPr>
      <w:r>
        <w:rPr>
          <w:b/>
        </w:rPr>
        <w:t>August 1997 – SCE Advice Letter Filing In Compliance with Decision 97-08-056</w:t>
      </w:r>
    </w:p>
    <w:p>
      <w:pPr>
        <w:pStyle w:val="Normal"/>
        <w:rPr>
          <w:b/>
        </w:rPr>
      </w:pPr>
      <w:r>
        <w:rPr>
          <w:b/>
        </w:rPr>
      </w:r>
    </w:p>
    <w:p>
      <w:pPr>
        <w:pStyle w:val="Normal"/>
        <w:ind w:hanging="720" w:start="720" w:end="0"/>
        <w:rPr/>
      </w:pPr>
      <w:r>
        <w:rPr>
          <w:rFonts w:eastAsia="Symbol" w:cs="Symbol" w:ascii="Symbol" w:hAnsi="Symbol"/>
        </w:rPr>
        <w:sym w:font="Symbol" w:char="f0b7"/>
      </w:r>
      <w:r>
        <w:rPr/>
        <w:tab/>
        <w:t>In Advice Filing 1245-E, in compliance with Decision 97-08-056, SCE set forth the derivation of its PX charge/credit as “the sum of the weighted average PX price paid by SCE for energy purchased in the day ahead and hour ahead energy markets, plus the cost of settlements for imbalance energy, plus uplift charges paid to the PX and ISO by SCE on behalf of its bundled service customers, as adjusted for distribution line loss factors.</w:t>
      </w:r>
    </w:p>
    <w:p>
      <w:pPr>
        <w:pStyle w:val="Normal"/>
        <w:rPr/>
      </w:pPr>
      <w:r>
        <w:rPr/>
        <w:t xml:space="preserve"> </w:t>
      </w:r>
    </w:p>
    <w:p>
      <w:pPr>
        <w:pStyle w:val="Normal"/>
        <w:rPr>
          <w:b/>
        </w:rPr>
      </w:pPr>
      <w:r>
        <w:rPr>
          <w:b/>
        </w:rPr>
        <w:t xml:space="preserve">December 1997 – CPUC Resolution E-3510 </w:t>
      </w:r>
    </w:p>
    <w:p>
      <w:pPr>
        <w:pStyle w:val="Normal"/>
        <w:rPr>
          <w:b/>
          <w:u w:val="single"/>
        </w:rPr>
      </w:pPr>
      <w:r>
        <w:rPr>
          <w:b/>
          <w:u w:val="single"/>
        </w:rPr>
      </w:r>
    </w:p>
    <w:p>
      <w:pPr>
        <w:pStyle w:val="Normal"/>
        <w:ind w:hanging="720" w:start="720" w:end="0"/>
        <w:rPr/>
      </w:pPr>
      <w:r>
        <w:rPr>
          <w:rFonts w:eastAsia="Symbol" w:cs="Symbol" w:ascii="Symbol" w:hAnsi="Symbol"/>
        </w:rPr>
        <w:sym w:font="Symbol" w:char="f0b7"/>
      </w:r>
      <w:r>
        <w:rPr/>
        <w:tab/>
        <w:t>The Commission approved PG&amp;E’s description (as contained in AL 1692-A) and SCE’s description (as contained in 1245-E) of the costs to be included in the PX charge/credit with the exception that PG&amp;E and SCE were directed to include an adder for uncollectibles.</w:t>
      </w:r>
    </w:p>
    <w:p>
      <w:pPr>
        <w:pStyle w:val="Normal"/>
        <w:rPr/>
      </w:pPr>
      <w:r>
        <w:rPr/>
      </w:r>
    </w:p>
    <w:p>
      <w:pPr>
        <w:pStyle w:val="Normal"/>
        <w:rPr>
          <w:b/>
        </w:rPr>
      </w:pPr>
      <w:r>
        <w:rPr>
          <w:b/>
        </w:rPr>
        <w:t>June 1999 – CPUC Decision on Procurement Costs in PX Credit  (D. 99-06-058)</w:t>
      </w:r>
    </w:p>
    <w:p>
      <w:pPr>
        <w:pStyle w:val="Normal"/>
        <w:rPr>
          <w:b/>
        </w:rPr>
      </w:pPr>
      <w:r>
        <w:rPr>
          <w:b/>
        </w:rPr>
      </w:r>
    </w:p>
    <w:p>
      <w:pPr>
        <w:pStyle w:val="Normal"/>
        <w:ind w:hanging="720" w:start="720" w:end="0"/>
        <w:rPr/>
      </w:pPr>
      <w:r>
        <w:rPr>
          <w:rFonts w:eastAsia="Symbol" w:cs="Symbol" w:ascii="Symbol" w:hAnsi="Symbol"/>
        </w:rPr>
        <w:sym w:font="Symbol" w:char="f0b7"/>
      </w:r>
      <w:r>
        <w:rPr/>
        <w:tab/>
        <w:t>In this decision the Commission recognized certain additional costs of procurement should appropriately included in the PX credit but stated that no such costs are adequately specified in the record for the purpose of ratesetting and directed the UDCs to set forth the long run marginal costs of such procurement function in the next RAP filing.</w:t>
      </w:r>
    </w:p>
    <w:p>
      <w:pPr>
        <w:pStyle w:val="Normal"/>
        <w:rPr/>
      </w:pPr>
      <w:r>
        <w:rPr/>
      </w:r>
    </w:p>
    <w:p>
      <w:pPr>
        <w:pStyle w:val="Normal"/>
        <w:ind w:start="720" w:end="0"/>
        <w:rPr/>
      </w:pPr>
      <w:r>
        <w:rPr/>
        <w:t>This is also the Decision that approved the Stipulations between the various UDCs, Enron and the Western Power Trading Forum for elimination of the zero minimum bill for direct access customers.</w:t>
      </w:r>
    </w:p>
    <w:p>
      <w:pPr>
        <w:pStyle w:val="Normal"/>
        <w:rPr/>
      </w:pPr>
      <w:r>
        <w:rPr/>
      </w:r>
      <w:r>
        <w:br w:type="page"/>
      </w:r>
    </w:p>
    <w:p>
      <w:pPr>
        <w:pStyle w:val="Normal"/>
        <w:rPr>
          <w:b/>
        </w:rPr>
      </w:pPr>
      <w:r>
        <w:rPr>
          <w:b/>
        </w:rPr>
        <w:t>November 2000 – Utility Petitions for Rate Freeze Termination</w:t>
      </w:r>
    </w:p>
    <w:p>
      <w:pPr>
        <w:pStyle w:val="Normal"/>
        <w:rPr>
          <w:b/>
        </w:rPr>
      </w:pPr>
      <w:r>
        <w:rPr>
          <w:b/>
        </w:rPr>
      </w:r>
    </w:p>
    <w:p>
      <w:pPr>
        <w:pStyle w:val="Normal"/>
        <w:ind w:hanging="720" w:start="720" w:end="0"/>
        <w:rPr/>
      </w:pPr>
      <w:r>
        <w:rPr>
          <w:rFonts w:eastAsia="Symbol" w:cs="Symbol" w:ascii="Symbol" w:hAnsi="Symbol"/>
          <w:b/>
        </w:rPr>
        <w:sym w:font="Symbol" w:char="f0b7"/>
      </w:r>
      <w:r>
        <w:rPr>
          <w:b/>
        </w:rPr>
        <w:tab/>
      </w:r>
      <w:r>
        <w:rPr/>
        <w:t xml:space="preserve">In a myriad of different filings made by SCE and PG&amp;E commencing in October of 2000, the UDCs claimed that their respective rate freezes had terminated. </w:t>
      </w:r>
      <w:r>
        <w:rPr>
          <w:b/>
        </w:rPr>
        <w:t xml:space="preserve"> </w:t>
      </w:r>
      <w:r>
        <w:rPr/>
        <w:t xml:space="preserve">PG&amp;E asserted that it may have terminated as early as May 2000, but the latest date was August 2000.  SCE made similar claims of an August 2000 termination. </w:t>
      </w:r>
    </w:p>
    <w:p>
      <w:pPr>
        <w:pStyle w:val="Normal"/>
        <w:rPr/>
      </w:pPr>
      <w:r>
        <w:rPr/>
      </w:r>
    </w:p>
    <w:p>
      <w:pPr>
        <w:pStyle w:val="Normal"/>
        <w:rPr>
          <w:b/>
        </w:rPr>
      </w:pPr>
      <w:r>
        <w:rPr>
          <w:b/>
        </w:rPr>
        <w:t>January 4, 2001 – CPUC Decision Implementing Emergency Procurement Surcharge (D. 01-01-018)</w:t>
      </w:r>
    </w:p>
    <w:p>
      <w:pPr>
        <w:pStyle w:val="Normal"/>
        <w:rPr>
          <w:b/>
        </w:rPr>
      </w:pPr>
      <w:r>
        <w:rPr>
          <w:b/>
        </w:rPr>
      </w:r>
    </w:p>
    <w:p>
      <w:pPr>
        <w:pStyle w:val="Normal"/>
        <w:ind w:hanging="720" w:start="720" w:end="0"/>
        <w:rPr/>
      </w:pPr>
      <w:r>
        <w:rPr>
          <w:rFonts w:eastAsia="Symbol" w:cs="Symbol" w:ascii="Symbol" w:hAnsi="Symbol"/>
        </w:rPr>
        <w:sym w:font="Symbol" w:char="f0b7"/>
      </w:r>
      <w:r>
        <w:rPr/>
        <w:tab/>
        <w:t>PG&amp;E and SCE shall establish an interim surcharge, subject to refund and adjustment.  The interim surcharge shall be established as the Emergency Procurement Surcharge (EPS) and shall be in place for 90 days from the effective date of this decision.  The EPS shall be applied to electricity rates and shall be applied on an equal-cents-per-kWh basis of one cent per kWh.</w:t>
      </w:r>
    </w:p>
    <w:p>
      <w:pPr>
        <w:pStyle w:val="Normal"/>
        <w:ind w:hanging="720" w:start="720" w:end="0"/>
        <w:rPr/>
      </w:pPr>
      <w:r>
        <w:rPr/>
      </w:r>
    </w:p>
    <w:p>
      <w:pPr>
        <w:pStyle w:val="Normal"/>
        <w:rPr>
          <w:b/>
        </w:rPr>
      </w:pPr>
      <w:r>
        <w:rPr>
          <w:b/>
        </w:rPr>
        <w:t>February 2001 – Legislation Creating CDWR Obligation</w:t>
      </w:r>
    </w:p>
    <w:p>
      <w:pPr>
        <w:pStyle w:val="Normal"/>
        <w:rPr>
          <w:b/>
        </w:rPr>
      </w:pPr>
      <w:r>
        <w:rPr>
          <w:b/>
        </w:rPr>
      </w:r>
    </w:p>
    <w:p>
      <w:pPr>
        <w:pStyle w:val="Normal"/>
        <w:ind w:hanging="720" w:start="720" w:end="0"/>
        <w:rPr/>
      </w:pPr>
      <w:r>
        <w:rPr>
          <w:rFonts w:eastAsia="Symbol" w:cs="Symbol" w:ascii="Symbol" w:hAnsi="Symbol"/>
        </w:rPr>
        <w:sym w:font="Symbol" w:char="f0b7"/>
      </w:r>
      <w:r>
        <w:rPr/>
        <w:tab/>
        <w:t>AB1X signed into law.  Establishes CDWR’s obligation to purchase on behalf of utilities’ retail end use customers, and obligates CPUC to set rates that recover CDWR’s revenue requirements.</w:t>
      </w:r>
    </w:p>
    <w:p>
      <w:pPr>
        <w:pStyle w:val="Normal"/>
        <w:rPr/>
      </w:pPr>
      <w:r>
        <w:rPr/>
      </w:r>
    </w:p>
    <w:p>
      <w:pPr>
        <w:pStyle w:val="Normal"/>
        <w:rPr>
          <w:b/>
        </w:rPr>
      </w:pPr>
      <w:r>
        <w:rPr>
          <w:b/>
        </w:rPr>
        <w:t>March  27, 2001 – CPUC Decision Adopting TURN Accounting and Determining AB1890 Rate Freeze Not Ended and Implementing 3c/kwh Emergency Surcharge (D. 01-03-082)</w:t>
      </w:r>
    </w:p>
    <w:p>
      <w:pPr>
        <w:pStyle w:val="Normal"/>
        <w:rPr>
          <w:b/>
        </w:rPr>
      </w:pPr>
      <w:r>
        <w:rPr>
          <w:b/>
        </w:rPr>
      </w:r>
    </w:p>
    <w:p>
      <w:pPr>
        <w:pStyle w:val="Normal"/>
        <w:ind w:hanging="720" w:start="720" w:end="0"/>
        <w:rPr/>
      </w:pPr>
      <w:r>
        <w:rPr>
          <w:rFonts w:eastAsia="Symbol" w:cs="Symbol" w:ascii="Symbol" w:hAnsi="Symbol"/>
        </w:rPr>
        <w:sym w:font="Symbol" w:char="f0b7"/>
      </w:r>
      <w:r>
        <w:rPr/>
        <w:tab/>
        <w:t>Declare that the AB1890 Rate Freeze has not ended.  Uses the TURN Accounting Procedure to justify this conclusion.  TURN Accounting Procedure allowed netting of under-recovered and over-recovered transition costs.  Made permanent the one cent surcharge created with January 4, 2001 order.  Allowed new surcharge of three cents per kWh to take effect.  Actual billings for this surcharge began June 1, 2001.  Applies to PG&amp;E and SCE.</w:t>
      </w:r>
    </w:p>
    <w:p>
      <w:pPr>
        <w:pStyle w:val="Normal"/>
        <w:rPr/>
      </w:pPr>
      <w:r>
        <w:rPr/>
      </w:r>
    </w:p>
    <w:p>
      <w:pPr>
        <w:pStyle w:val="Normal"/>
        <w:rPr>
          <w:b/>
        </w:rPr>
      </w:pPr>
      <w:r>
        <w:rPr>
          <w:b/>
        </w:rPr>
        <w:t>April 11, 2001 – SCE Advice Letter on Replacing PX Credit (1529-E)</w:t>
      </w:r>
    </w:p>
    <w:p>
      <w:pPr>
        <w:pStyle w:val="Normal"/>
        <w:rPr>
          <w:b/>
        </w:rPr>
      </w:pPr>
      <w:r>
        <w:rPr>
          <w:b/>
        </w:rPr>
      </w:r>
    </w:p>
    <w:p>
      <w:pPr>
        <w:pStyle w:val="Normal"/>
        <w:ind w:hanging="720" w:start="720" w:end="0"/>
        <w:rPr/>
      </w:pPr>
      <w:r>
        <w:rPr>
          <w:rFonts w:eastAsia="Symbol" w:cs="Symbol" w:ascii="Symbol" w:hAnsi="Symbol"/>
        </w:rPr>
        <w:sym w:font="Symbol" w:char="f0b7"/>
      </w:r>
      <w:r>
        <w:rPr/>
        <w:tab/>
        <w:t>SCE proposes to replace PX Credit with PE Credit (Procured Energy).  Sets PE Credit equal to the unbundled generation rate component.  Claims that “while the procured energy charge is set equal to the generation component, CTC shall be equal to zero.”  Filing has not been addressed by CPUC.</w:t>
      </w:r>
    </w:p>
    <w:p>
      <w:pPr>
        <w:pStyle w:val="Normal"/>
        <w:rPr>
          <w:b/>
        </w:rPr>
      </w:pPr>
      <w:r>
        <w:rPr>
          <w:b/>
        </w:rPr>
      </w:r>
    </w:p>
    <w:p>
      <w:pPr>
        <w:pStyle w:val="Normal"/>
        <w:ind w:hanging="720" w:start="720" w:end="0"/>
        <w:rPr>
          <w:b/>
        </w:rPr>
      </w:pPr>
      <w:r>
        <w:rPr>
          <w:b/>
        </w:rPr>
        <w:t>April 11, 2001 – PG&amp;E Advice Letter on Replacing PX Credit (2101-E)</w:t>
      </w:r>
    </w:p>
    <w:p>
      <w:pPr>
        <w:pStyle w:val="Normal"/>
        <w:ind w:hanging="720" w:start="720" w:end="0"/>
        <w:rPr>
          <w:b/>
        </w:rPr>
      </w:pPr>
      <w:r>
        <w:rPr>
          <w:b/>
        </w:rPr>
      </w:r>
    </w:p>
    <w:p>
      <w:pPr>
        <w:pStyle w:val="Normal"/>
        <w:ind w:hanging="720" w:start="720" w:end="0"/>
        <w:rPr/>
      </w:pPr>
      <w:r>
        <w:rPr>
          <w:rFonts w:eastAsia="Symbol" w:cs="Symbol" w:ascii="Symbol" w:hAnsi="Symbol"/>
          <w:b/>
        </w:rPr>
        <w:sym w:font="Symbol" w:char="f0b7"/>
      </w:r>
      <w:r>
        <w:rPr>
          <w:b/>
        </w:rPr>
        <w:tab/>
      </w:r>
      <w:r>
        <w:rPr/>
        <w:t xml:space="preserve">PG&amp;E proposes to replace the PX credit with credit derived from a newly proposed E-Gen Rate Schedule.  The credit would be comprised of the costs of PG&amp;E’s retained generation and the costs of CDWR purchases.    </w:t>
      </w:r>
    </w:p>
    <w:p>
      <w:pPr>
        <w:pStyle w:val="Normal"/>
        <w:rPr/>
      </w:pPr>
      <w:r>
        <w:rPr/>
      </w:r>
    </w:p>
    <w:p>
      <w:pPr>
        <w:pStyle w:val="Normal"/>
        <w:rPr>
          <w:b/>
        </w:rPr>
      </w:pPr>
      <w:r>
        <w:rPr>
          <w:b/>
        </w:rPr>
        <w:t>April 11, 2001 – Legislation on San Diego Rates</w:t>
      </w:r>
    </w:p>
    <w:p>
      <w:pPr>
        <w:pStyle w:val="Normal"/>
        <w:rPr>
          <w:b/>
        </w:rPr>
      </w:pPr>
      <w:r>
        <w:rPr>
          <w:b/>
        </w:rPr>
      </w:r>
    </w:p>
    <w:p>
      <w:pPr>
        <w:pStyle w:val="Normal"/>
        <w:ind w:hanging="720" w:start="720" w:end="0"/>
        <w:rPr>
          <w:b/>
        </w:rPr>
      </w:pPr>
      <w:r>
        <w:rPr>
          <w:rFonts w:eastAsia="Symbol" w:cs="Symbol" w:ascii="Symbol" w:hAnsi="Symbol"/>
        </w:rPr>
        <w:sym w:font="Symbol" w:char="f0b7"/>
      </w:r>
      <w:r>
        <w:rPr/>
        <w:tab/>
        <w:t xml:space="preserve">SB43X establishes a frozen rate of 6.5 cents per kWh for large commercial and industrial customers of SDG&amp;E, retroactive to February 7, 2001, through the period ending with the end of the rate freeze for PG&amp;E and SCE.  </w:t>
      </w:r>
    </w:p>
    <w:p>
      <w:pPr>
        <w:pStyle w:val="Normal"/>
        <w:rPr>
          <w:b/>
        </w:rPr>
      </w:pPr>
      <w:r>
        <w:rPr>
          <w:b/>
        </w:rPr>
      </w:r>
    </w:p>
    <w:p>
      <w:pPr>
        <w:pStyle w:val="Normal"/>
        <w:rPr>
          <w:b/>
        </w:rPr>
      </w:pPr>
      <w:r>
        <w:rPr>
          <w:b/>
        </w:rPr>
        <w:t>May 15, 2001 – CPUC Order on 3c/kwh Rate Design (D. 01-05-064)</w:t>
      </w:r>
    </w:p>
    <w:p>
      <w:pPr>
        <w:pStyle w:val="Normal"/>
        <w:rPr>
          <w:b/>
        </w:rPr>
      </w:pPr>
      <w:r>
        <w:rPr>
          <w:b/>
        </w:rPr>
      </w:r>
    </w:p>
    <w:p>
      <w:pPr>
        <w:pStyle w:val="Normal"/>
        <w:ind w:hanging="720" w:start="720" w:end="0"/>
        <w:rPr/>
      </w:pPr>
      <w:r>
        <w:rPr>
          <w:rFonts w:eastAsia="Symbol" w:cs="Symbol" w:ascii="Symbol" w:hAnsi="Symbol"/>
        </w:rPr>
        <w:sym w:font="Symbol" w:char="f0b7"/>
      </w:r>
      <w:r>
        <w:rPr/>
        <w:tab/>
        <w:t>Adopts a rate design for implementing the three-cent surcharge approved in the March 27 order.  Rules that direct access customers do not pay the three-cent surcharge.</w:t>
      </w:r>
    </w:p>
    <w:p>
      <w:pPr>
        <w:pStyle w:val="Normal"/>
        <w:rPr/>
      </w:pPr>
      <w:r>
        <w:rPr/>
      </w:r>
    </w:p>
    <w:p>
      <w:pPr>
        <w:pStyle w:val="Normal"/>
        <w:rPr>
          <w:b/>
        </w:rPr>
      </w:pPr>
      <w:r>
        <w:rPr>
          <w:b/>
        </w:rPr>
        <w:t>May 22, 2001 – SCE Advice Letter 1545-E Implementing 3c/kwh Surcharge</w:t>
      </w:r>
    </w:p>
    <w:p>
      <w:pPr>
        <w:pStyle w:val="Normal"/>
        <w:rPr>
          <w:b/>
        </w:rPr>
      </w:pPr>
      <w:r>
        <w:rPr>
          <w:b/>
        </w:rPr>
      </w:r>
    </w:p>
    <w:p>
      <w:pPr>
        <w:pStyle w:val="Normal"/>
        <w:ind w:hanging="720" w:start="720" w:end="0"/>
        <w:rPr/>
      </w:pPr>
      <w:r>
        <w:rPr>
          <w:rFonts w:eastAsia="Symbol" w:cs="Symbol" w:ascii="Symbol" w:hAnsi="Symbol"/>
        </w:rPr>
        <w:sym w:font="Symbol" w:char="f0b7"/>
      </w:r>
      <w:r>
        <w:rPr/>
        <w:tab/>
        <w:t xml:space="preserve">Tariff filing to implement the 3 c/kwh surcharge.  SCE restricts the exemption for direct access customers to the 3 c/kwh surcharge.  </w:t>
      </w:r>
    </w:p>
    <w:p>
      <w:pPr>
        <w:pStyle w:val="Normal"/>
        <w:rPr/>
      </w:pPr>
      <w:r>
        <w:rPr/>
      </w:r>
    </w:p>
    <w:p>
      <w:pPr>
        <w:pStyle w:val="Normal"/>
        <w:rPr>
          <w:b/>
        </w:rPr>
      </w:pPr>
      <w:r>
        <w:rPr>
          <w:b/>
        </w:rPr>
        <w:t>May 22, 2001 – PG&amp;E Advice Letter 2119-E</w:t>
      </w:r>
    </w:p>
    <w:p>
      <w:pPr>
        <w:pStyle w:val="Normal"/>
        <w:rPr>
          <w:b/>
        </w:rPr>
      </w:pPr>
      <w:r>
        <w:rPr>
          <w:b/>
        </w:rPr>
      </w:r>
    </w:p>
    <w:p>
      <w:pPr>
        <w:pStyle w:val="Normal"/>
        <w:ind w:hanging="720" w:start="720" w:end="0"/>
        <w:rPr/>
      </w:pPr>
      <w:r>
        <w:rPr>
          <w:rFonts w:eastAsia="Symbol" w:cs="Symbol" w:ascii="Symbol" w:hAnsi="Symbol"/>
        </w:rPr>
        <w:sym w:font="Symbol" w:char="f0b7"/>
      </w:r>
      <w:r>
        <w:rPr/>
        <w:tab/>
        <w:t xml:space="preserve">PG&amp;E Advice Letter to implement three-cent surcharge.  All customers pay the one-cent surcharge.  </w:t>
      </w:r>
    </w:p>
    <w:p>
      <w:pPr>
        <w:pStyle w:val="Normal"/>
        <w:rPr/>
      </w:pPr>
      <w:r>
        <w:rPr/>
      </w:r>
    </w:p>
    <w:p>
      <w:pPr>
        <w:pStyle w:val="Normal"/>
        <w:rPr>
          <w:b/>
        </w:rPr>
      </w:pPr>
      <w:r>
        <w:rPr>
          <w:b/>
        </w:rPr>
        <w:t>June 15, 2001 – ALJ Ruling on Utility Retained Generation Proceedings</w:t>
      </w:r>
    </w:p>
    <w:p>
      <w:pPr>
        <w:pStyle w:val="Normal"/>
        <w:rPr>
          <w:b/>
        </w:rPr>
      </w:pPr>
      <w:r>
        <w:rPr>
          <w:b/>
        </w:rPr>
      </w:r>
    </w:p>
    <w:p>
      <w:pPr>
        <w:pStyle w:val="Normal"/>
        <w:ind w:hanging="720" w:start="720" w:end="0"/>
        <w:rPr/>
      </w:pPr>
      <w:r>
        <w:rPr>
          <w:rFonts w:eastAsia="Symbol" w:cs="Symbol" w:ascii="Symbol" w:hAnsi="Symbol"/>
        </w:rPr>
        <w:sym w:font="Symbol" w:char="f0b7"/>
      </w:r>
      <w:r>
        <w:rPr/>
        <w:tab/>
        <w:t>Directs PG&amp;E, SCE, and SDG&amp;E to develop cost based rates for utility retained generation and sets a schedule for hearings.</w:t>
      </w:r>
    </w:p>
    <w:p>
      <w:pPr>
        <w:pStyle w:val="Normal"/>
        <w:ind w:hanging="720" w:start="720" w:end="0"/>
        <w:rPr/>
      </w:pPr>
      <w:r>
        <w:rPr/>
      </w:r>
    </w:p>
    <w:p>
      <w:pPr>
        <w:pStyle w:val="BodyText2"/>
        <w:rPr/>
      </w:pPr>
      <w:r>
        <w:rPr/>
        <w:t>June 15, 2001 – CPUC Proposed Decision Suspending Direct Access and Clarifying Negative CTC is Credit not Cash Payment</w:t>
      </w:r>
    </w:p>
    <w:p>
      <w:pPr>
        <w:pStyle w:val="Normal"/>
        <w:rPr/>
      </w:pPr>
      <w:r>
        <w:rPr/>
      </w:r>
    </w:p>
    <w:p>
      <w:pPr>
        <w:pStyle w:val="Normal"/>
        <w:ind w:hanging="720" w:start="720" w:end="0"/>
        <w:rPr/>
      </w:pPr>
      <w:r>
        <w:rPr>
          <w:rFonts w:eastAsia="Symbol" w:cs="Symbol" w:ascii="Symbol" w:hAnsi="Symbol"/>
        </w:rPr>
        <w:sym w:font="Symbol" w:char="f0b7"/>
      </w:r>
      <w:r>
        <w:rPr/>
        <w:tab/>
        <w:t xml:space="preserve">This order has not been voted out.  Would grant SCE’s petition to stop making  payments to direct access customers to satisfy the PX Credit. In addition the proposed decision went beyond the relief requested in SCE’s petition by ruling that the Stipulation which eliminated the direct access minimum bill did not required the payment of any PX credit amounts owing in cash.  The proposed decision also would have suspended direct access effective July 1, 2001 except for written contracts executed prior to July 1, 2001.  </w:t>
      </w:r>
    </w:p>
    <w:p>
      <w:pPr>
        <w:pStyle w:val="Normal"/>
        <w:ind w:hanging="720" w:start="720" w:end="0"/>
        <w:rPr/>
      </w:pPr>
      <w:r>
        <w:rPr/>
      </w:r>
    </w:p>
    <w:p>
      <w:pPr>
        <w:pStyle w:val="Normal"/>
        <w:rPr>
          <w:b/>
        </w:rPr>
      </w:pPr>
      <w:r>
        <w:rPr>
          <w:b/>
        </w:rPr>
        <w:t>June 19, 2001 – SCE Letter to CPUC Energy Division on DA Application of Surcharges</w:t>
      </w:r>
    </w:p>
    <w:p>
      <w:pPr>
        <w:pStyle w:val="Normal"/>
        <w:rPr>
          <w:b/>
        </w:rPr>
      </w:pPr>
      <w:r>
        <w:rPr>
          <w:b/>
        </w:rPr>
      </w:r>
    </w:p>
    <w:p>
      <w:pPr>
        <w:pStyle w:val="Normal"/>
        <w:ind w:hanging="720" w:start="720" w:end="0"/>
        <w:rPr/>
      </w:pPr>
      <w:r>
        <w:rPr>
          <w:rFonts w:eastAsia="Symbol" w:cs="Symbol" w:ascii="Symbol" w:hAnsi="Symbol"/>
        </w:rPr>
        <w:sym w:font="Symbol" w:char="f0b7"/>
      </w:r>
      <w:r>
        <w:rPr/>
        <w:tab/>
        <w:t>SCE claims to be exempting direct access customers from both the three-cent and one-cent surcharge.  SCE says it is “not entirely sure whether the Commission intends to exempt the DA customers from the one-cent per kWh surcharge and has previously requested Energy Division’s opinion on this matter.”</w:t>
      </w:r>
    </w:p>
    <w:p>
      <w:pPr>
        <w:pStyle w:val="Normal"/>
        <w:rPr/>
      </w:pPr>
      <w:r>
        <w:rPr/>
      </w:r>
    </w:p>
    <w:p>
      <w:pPr>
        <w:pStyle w:val="Normal"/>
        <w:rPr>
          <w:b/>
        </w:rPr>
      </w:pPr>
      <w:r>
        <w:rPr>
          <w:b/>
        </w:rPr>
        <w:t>July 18, 2001 – ALJ Ruling on CDWR Rates</w:t>
      </w:r>
    </w:p>
    <w:p>
      <w:pPr>
        <w:pStyle w:val="Normal"/>
        <w:rPr>
          <w:b/>
        </w:rPr>
      </w:pPr>
      <w:r>
        <w:rPr>
          <w:b/>
        </w:rPr>
      </w:r>
    </w:p>
    <w:p>
      <w:pPr>
        <w:pStyle w:val="Normal"/>
        <w:ind w:hanging="720" w:start="720" w:end="0"/>
        <w:rPr/>
      </w:pPr>
      <w:r>
        <w:rPr>
          <w:rFonts w:eastAsia="Symbol" w:cs="Symbol" w:ascii="Symbol" w:hAnsi="Symbol"/>
        </w:rPr>
        <w:sym w:font="Symbol" w:char="f0b7"/>
      </w:r>
      <w:r>
        <w:rPr/>
        <w:tab/>
        <w:t>Requests comments on draft rate agreement between CPUC and CDWR.  Agreement establishes mechanism that will provide for payment to CDWR of its revenue requirements.</w:t>
      </w:r>
    </w:p>
    <w:p>
      <w:pPr>
        <w:pStyle w:val="Normal"/>
        <w:rPr/>
      </w:pPr>
      <w:r>
        <w:rPr/>
      </w:r>
    </w:p>
    <w:p>
      <w:pPr>
        <w:pStyle w:val="Normal"/>
        <w:rPr>
          <w:b/>
        </w:rPr>
      </w:pPr>
      <w:r>
        <w:rPr>
          <w:b/>
        </w:rPr>
        <w:t>July 23, 2001 – CDWR Letter to CPUC on Revenue Requirements</w:t>
      </w:r>
    </w:p>
    <w:p>
      <w:pPr>
        <w:pStyle w:val="Normal"/>
        <w:rPr/>
      </w:pPr>
      <w:r>
        <w:rPr/>
        <w:tab/>
      </w:r>
    </w:p>
    <w:p>
      <w:pPr>
        <w:pStyle w:val="Normal"/>
        <w:ind w:hanging="720" w:start="720" w:end="0"/>
        <w:rPr/>
      </w:pPr>
      <w:r>
        <w:rPr>
          <w:rFonts w:eastAsia="Symbol" w:cs="Symbol" w:ascii="Symbol" w:hAnsi="Symbol"/>
        </w:rPr>
        <w:sym w:font="Symbol" w:char="f0b7"/>
      </w:r>
      <w:r>
        <w:rPr/>
        <w:tab/>
        <w:t>Presents DWR revenue requirements for period of January 17, 2001 through December 31, 2002.  Revenue requirement is divided among the three UDCs as follows:  PG&amp;E – $5.2 billion, SCE – $5.8 billion, SDG&amp;E – $2.1 billion.  Claims the revenue requirements are just and reasonable, as required for pass-through by law.</w:t>
      </w:r>
    </w:p>
    <w:p>
      <w:pPr>
        <w:pStyle w:val="Normal"/>
        <w:rPr/>
      </w:pPr>
      <w:r>
        <w:rPr/>
      </w:r>
    </w:p>
    <w:p>
      <w:pPr>
        <w:pStyle w:val="Normal"/>
        <w:rPr>
          <w:b/>
        </w:rPr>
      </w:pPr>
      <w:r>
        <w:rPr>
          <w:b/>
        </w:rPr>
        <w:t>July 24, 2001 – Assigned Commissioner’s Ruling / ALJ Ruling on CDWR Revenue Requirement</w:t>
      </w:r>
    </w:p>
    <w:p>
      <w:pPr>
        <w:pStyle w:val="Normal"/>
        <w:rPr>
          <w:b/>
        </w:rPr>
      </w:pPr>
      <w:r>
        <w:rPr>
          <w:b/>
        </w:rPr>
      </w:r>
    </w:p>
    <w:p>
      <w:pPr>
        <w:pStyle w:val="Normal"/>
        <w:ind w:hanging="720" w:start="720" w:end="0"/>
        <w:rPr/>
      </w:pPr>
      <w:r>
        <w:rPr>
          <w:rFonts w:eastAsia="Symbol" w:cs="Symbol" w:ascii="Symbol" w:hAnsi="Symbol"/>
        </w:rPr>
        <w:sym w:font="Symbol" w:char="f0b7"/>
      </w:r>
      <w:r>
        <w:rPr/>
        <w:tab/>
        <w:t>Requests comments, due August 3, 2001, on CDWR’s revenue requirements for PG&amp;E and SCE.  CPUC will vote on CDWR revenue requirements on August 23, 2001 and on a potential rate increase for SDG&amp;E comparable to the three-cent surcharge approved for PG&amp;E and SCE on March 27,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2"/>
        <w:ind w:hanging="0" w:start="0"/>
        <w:rPr/>
      </w:pPr>
      <w:r>
        <w:rPr/>
        <w:t>SUMMARY OF PG&amp;E – ENRON CORRESPONDENCE</w:t>
      </w:r>
    </w:p>
    <w:p>
      <w:pPr>
        <w:pStyle w:val="Heading2"/>
        <w:ind w:hanging="0" w:start="0"/>
        <w:rPr/>
      </w:pPr>
      <w:r>
        <w:rPr/>
        <w:t>RELATED TO PAYMENT OF NEGATIVE CTC</w:t>
      </w:r>
    </w:p>
    <w:p>
      <w:pPr>
        <w:pStyle w:val="Normal"/>
        <w:rPr/>
      </w:pPr>
      <w:r>
        <w:rPr/>
      </w:r>
    </w:p>
    <w:p>
      <w:pPr>
        <w:pStyle w:val="Normal"/>
        <w:rPr/>
      </w:pPr>
      <w:r>
        <w:rPr>
          <w:b/>
        </w:rPr>
        <w:t>October 24</w:t>
      </w:r>
      <w:r>
        <w:rPr>
          <w:b/>
          <w:vertAlign w:val="superscript"/>
        </w:rPr>
        <w:t>th</w:t>
      </w:r>
      <w:r>
        <w:rPr>
          <w:b/>
        </w:rPr>
        <w:t>, 2000</w:t>
      </w:r>
    </w:p>
    <w:p>
      <w:pPr>
        <w:pStyle w:val="Normal"/>
        <w:rPr>
          <w:b/>
        </w:rPr>
      </w:pPr>
      <w:r>
        <w:rPr>
          <w:b/>
        </w:rPr>
        <w:t>PG&amp;E letter to Dennis Benevides</w:t>
      </w:r>
    </w:p>
    <w:p>
      <w:pPr>
        <w:pStyle w:val="Normal"/>
        <w:rPr>
          <w:b/>
        </w:rPr>
      </w:pPr>
      <w:r>
        <w:rPr>
          <w:b/>
        </w:rPr>
        <w:t>Enron Energy Marketing Corp</w:t>
      </w:r>
    </w:p>
    <w:p>
      <w:pPr>
        <w:pStyle w:val="Normal"/>
        <w:rPr>
          <w:b/>
        </w:rPr>
      </w:pPr>
      <w:r>
        <w:rPr>
          <w:b/>
        </w:rPr>
      </w:r>
    </w:p>
    <w:p>
      <w:pPr>
        <w:pStyle w:val="Normal"/>
        <w:rPr/>
      </w:pPr>
      <w:r>
        <w:rPr/>
        <w:t xml:space="preserve">Subject: </w:t>
      </w:r>
    </w:p>
    <w:p>
      <w:pPr>
        <w:pStyle w:val="Normal"/>
        <w:rPr/>
      </w:pPr>
      <w:r>
        <w:rPr/>
        <w:t xml:space="preserve"> </w:t>
      </w:r>
      <w:r>
        <w:rPr/>
        <w:t>Response to Enron’s request for payment of the net residual credits on utility bills</w:t>
      </w:r>
    </w:p>
    <w:p>
      <w:pPr>
        <w:pStyle w:val="Normal"/>
        <w:rPr/>
      </w:pPr>
      <w:r>
        <w:rPr/>
      </w:r>
    </w:p>
    <w:p>
      <w:pPr>
        <w:pStyle w:val="Normal"/>
        <w:rPr/>
      </w:pPr>
      <w:r>
        <w:rPr/>
        <w:t>Narrative:</w:t>
      </w:r>
    </w:p>
    <w:p>
      <w:pPr>
        <w:pStyle w:val="Normal"/>
        <w:rPr/>
      </w:pPr>
      <w:r>
        <w:rPr/>
        <w:t>PG&amp;E believes “the credits belong to the direct access customers and not to their ESPs. Accordingly, the credits on recent bills should be used to offset future utility charges, and not paid out to ESPs.”</w:t>
      </w:r>
    </w:p>
    <w:p>
      <w:pPr>
        <w:pStyle w:val="Normal"/>
        <w:rPr/>
      </w:pPr>
      <w:r>
        <w:rPr/>
      </w:r>
    </w:p>
    <w:p>
      <w:pPr>
        <w:pStyle w:val="Normal"/>
        <w:rPr/>
      </w:pPr>
      <w:r>
        <w:rPr/>
        <w:t>Request:</w:t>
      </w:r>
    </w:p>
    <w:p>
      <w:pPr>
        <w:pStyle w:val="Normal"/>
        <w:rPr/>
      </w:pPr>
      <w:r>
        <w:rPr/>
        <w:t>PG&amp;E requested EES demonstrate how the payment being requested will be flowed through to the benefit of EES’ customers.  They stated, “if Enron Energy Marketing can demonstrate how the payment being requested will be flowed through to the benefit of Enron Energy Marketing’s customers, our Company will issue the requested payment.</w:t>
      </w:r>
    </w:p>
    <w:p>
      <w:pPr>
        <w:pStyle w:val="Normal"/>
        <w:rPr/>
      </w:pPr>
      <w:r>
        <w:rPr/>
      </w:r>
    </w:p>
    <w:p>
      <w:pPr>
        <w:pStyle w:val="Normal"/>
        <w:rPr/>
      </w:pPr>
      <w:r>
        <w:rPr>
          <w:b/>
        </w:rPr>
        <w:t>November 14</w:t>
      </w:r>
      <w:r>
        <w:rPr>
          <w:b/>
          <w:vertAlign w:val="superscript"/>
        </w:rPr>
        <w:t>th</w:t>
      </w:r>
      <w:r>
        <w:rPr>
          <w:b/>
        </w:rPr>
        <w:t>, 2000</w:t>
      </w:r>
    </w:p>
    <w:p>
      <w:pPr>
        <w:pStyle w:val="Normal"/>
        <w:rPr>
          <w:b/>
        </w:rPr>
      </w:pPr>
      <w:r>
        <w:rPr>
          <w:b/>
        </w:rPr>
        <w:t>PG&amp;E letter to Michael B. Day</w:t>
      </w:r>
    </w:p>
    <w:p>
      <w:pPr>
        <w:pStyle w:val="Normal"/>
        <w:rPr>
          <w:b/>
        </w:rPr>
      </w:pPr>
      <w:r>
        <w:rPr>
          <w:b/>
        </w:rPr>
        <w:t>Goodin, MacBride, Squeri, Ritchie &amp; Day, LLP</w:t>
      </w:r>
    </w:p>
    <w:p>
      <w:pPr>
        <w:pStyle w:val="Normal"/>
        <w:rPr>
          <w:b/>
        </w:rPr>
      </w:pPr>
      <w:r>
        <w:rPr>
          <w:b/>
        </w:rPr>
      </w:r>
    </w:p>
    <w:p>
      <w:pPr>
        <w:pStyle w:val="Normal"/>
        <w:rPr/>
      </w:pPr>
      <w:r>
        <w:rPr/>
        <w:t>Subject:</w:t>
      </w:r>
    </w:p>
    <w:p>
      <w:pPr>
        <w:pStyle w:val="Normal"/>
        <w:rPr/>
      </w:pPr>
      <w:r>
        <w:rPr/>
        <w:t>Summarize the present status of PG&amp;E’s discussions with Enron regarding a resolution of PG&amp;E’s request for certain assurances as set forth in PG&amp;E’s October 24</w:t>
      </w:r>
      <w:r>
        <w:rPr>
          <w:vertAlign w:val="superscript"/>
        </w:rPr>
        <w:t>th</w:t>
      </w:r>
      <w:r>
        <w:rPr/>
        <w:t>, 2000 letter to Enron.</w:t>
      </w:r>
    </w:p>
    <w:p>
      <w:pPr>
        <w:pStyle w:val="Normal"/>
        <w:rPr/>
      </w:pPr>
      <w:r>
        <w:rPr/>
      </w:r>
    </w:p>
    <w:p>
      <w:pPr>
        <w:pStyle w:val="Normal"/>
        <w:rPr/>
      </w:pPr>
      <w:r>
        <w:rPr/>
        <w:t>Narrative:</w:t>
      </w:r>
    </w:p>
    <w:p>
      <w:pPr>
        <w:pStyle w:val="Normal"/>
        <w:rPr/>
      </w:pPr>
      <w:r>
        <w:rPr/>
        <w:t xml:space="preserve">Reference was made to two calls with PG&amp;E regarding the kinds of assurances that PG&amp;E was seeking and the suggested wording for a letter.  </w:t>
      </w:r>
    </w:p>
    <w:p>
      <w:pPr>
        <w:pStyle w:val="Normal"/>
        <w:rPr/>
      </w:pPr>
      <w:r>
        <w:rPr/>
      </w:r>
    </w:p>
    <w:p>
      <w:pPr>
        <w:pStyle w:val="Normal"/>
        <w:rPr/>
      </w:pPr>
      <w:r>
        <w:rPr/>
        <w:t>Notification:</w:t>
      </w:r>
    </w:p>
    <w:p>
      <w:pPr>
        <w:pStyle w:val="Normal"/>
        <w:rPr/>
      </w:pPr>
      <w:r>
        <w:rPr/>
        <w:t>“</w:t>
      </w:r>
      <w:r>
        <w:rPr/>
        <w:t>Since Enron is not the only ESP that has challenged PG&amp;E’s policy on releasing the accumulated credits of direct access customers, PG&amp;E has taken the step of filing a petition for modification with the CPUC (attached).  This document was filed on November 9, 2000 and will hopefully clarify this issue.  Pending resolution of the petition, we will continue with our current policy, and we hope Enron will cooperate in the interim.”</w:t>
      </w:r>
    </w:p>
    <w:p>
      <w:pPr>
        <w:pStyle w:val="Normal"/>
        <w:rPr/>
      </w:pPr>
      <w:r>
        <w:rPr/>
      </w:r>
    </w:p>
    <w:p>
      <w:pPr>
        <w:pStyle w:val="Normal"/>
        <w:rPr>
          <w:b/>
        </w:rPr>
      </w:pPr>
      <w:r>
        <w:rPr>
          <w:b/>
        </w:rPr>
        <w:t>December 4, 2000</w:t>
      </w:r>
    </w:p>
    <w:p>
      <w:pPr>
        <w:pStyle w:val="Normal"/>
        <w:rPr>
          <w:b/>
        </w:rPr>
      </w:pPr>
      <w:r>
        <w:rPr>
          <w:b/>
        </w:rPr>
        <w:t>Enron Energy Services letter to PG&amp;E</w:t>
      </w:r>
    </w:p>
    <w:p>
      <w:pPr>
        <w:pStyle w:val="Normal"/>
        <w:rPr>
          <w:b/>
        </w:rPr>
      </w:pPr>
      <w:r>
        <w:rPr>
          <w:b/>
        </w:rPr>
        <w:t>Peter Ouborg, Esq.</w:t>
      </w:r>
    </w:p>
    <w:p>
      <w:pPr>
        <w:pStyle w:val="Normal"/>
        <w:rPr>
          <w:b/>
        </w:rPr>
      </w:pPr>
      <w:r>
        <w:rPr>
          <w:b/>
        </w:rPr>
      </w:r>
    </w:p>
    <w:p>
      <w:pPr>
        <w:pStyle w:val="Normal"/>
        <w:rPr/>
      </w:pPr>
      <w:r>
        <w:rPr/>
        <w:t>Subject:</w:t>
      </w:r>
    </w:p>
    <w:p>
      <w:pPr>
        <w:pStyle w:val="BodyText"/>
        <w:rPr/>
      </w:pPr>
      <w:r>
        <w:rPr/>
        <w:t>Commencement of Payments by PG&amp;E to Enron Energy Services, Inc. and Enron Energy Marketing Corp. (collectively, “Enron” for Negative CTC Charges</w:t>
      </w:r>
    </w:p>
    <w:p>
      <w:pPr>
        <w:pStyle w:val="BodyText"/>
        <w:rPr/>
      </w:pPr>
      <w:r>
        <w:rPr/>
      </w:r>
    </w:p>
    <w:p>
      <w:pPr>
        <w:pStyle w:val="BodyText"/>
        <w:rPr>
          <w:b/>
          <w:i/>
          <w:i/>
          <w:u w:val="none"/>
        </w:rPr>
      </w:pPr>
      <w:r>
        <w:rPr>
          <w:u w:val="none"/>
        </w:rPr>
        <w:t>The formal response to PG&amp;E’s October 24, 2000 letter to Enron Energy Marketing Corp. and subsequent electronic correspondence from PG&amp;E on November 8, 2000 in which PG&amp;E requests certain information as a condition to releasing to Enron payment for the accumulated negative CTC charges that have been billed to Enron’s direct access customers over the last five months.</w:t>
      </w:r>
    </w:p>
    <w:p>
      <w:pPr>
        <w:pStyle w:val="BodyText"/>
        <w:rPr>
          <w:b/>
          <w:i/>
          <w:i/>
          <w:u w:val="none"/>
        </w:rPr>
      </w:pPr>
      <w:r>
        <w:rPr>
          <w:b/>
          <w:i/>
          <w:u w:val="none"/>
        </w:rPr>
      </w:r>
    </w:p>
    <w:p>
      <w:pPr>
        <w:pStyle w:val="BodyText"/>
        <w:rPr>
          <w:u w:val="none"/>
        </w:rPr>
      </w:pPr>
      <w:r>
        <w:rPr>
          <w:u w:val="none"/>
        </w:rPr>
        <w:t>Narrative:</w:t>
      </w:r>
    </w:p>
    <w:p>
      <w:pPr>
        <w:pStyle w:val="BodyText"/>
        <w:rPr>
          <w:u w:val="none"/>
        </w:rPr>
      </w:pPr>
      <w:r>
        <w:rPr>
          <w:u w:val="none"/>
        </w:rPr>
        <w:t xml:space="preserve">Enron contends this letter “provides the representations and assurances requested by you in your November 8, 2000 e-mail”.   And further states, “ we anticipate that PG&amp;E will immediately commence the process of making payment to Enron for the negative charges which have been the result of high Power Exchange prices and the accumulation of so-called “negative CTC”.  </w:t>
      </w:r>
    </w:p>
    <w:p>
      <w:pPr>
        <w:pStyle w:val="BodyText"/>
        <w:rPr>
          <w:u w:val="none"/>
        </w:rPr>
      </w:pPr>
      <w:r>
        <w:rPr>
          <w:u w:val="none"/>
        </w:rPr>
      </w:r>
    </w:p>
    <w:p>
      <w:pPr>
        <w:pStyle w:val="BodyText"/>
        <w:rPr>
          <w:u w:val="none"/>
        </w:rPr>
      </w:pPr>
      <w:r>
        <w:rPr>
          <w:u w:val="none"/>
        </w:rPr>
        <w:t>Request:</w:t>
      </w:r>
    </w:p>
    <w:p>
      <w:pPr>
        <w:pStyle w:val="BodyText"/>
        <w:rPr>
          <w:u w:val="none"/>
        </w:rPr>
      </w:pPr>
      <w:r>
        <w:rPr>
          <w:u w:val="none"/>
        </w:rPr>
        <w:t xml:space="preserve">Enron expects PG&amp;E to commence immediate payment of the negative charges, including any additional negative charges that may become payable in the future.  </w:t>
      </w:r>
    </w:p>
    <w:p>
      <w:pPr>
        <w:pStyle w:val="BodyText"/>
        <w:rPr>
          <w:u w:val="none"/>
        </w:rPr>
      </w:pPr>
      <w:r>
        <w:rPr>
          <w:u w:val="none"/>
        </w:rPr>
      </w:r>
    </w:p>
    <w:p>
      <w:pPr>
        <w:pStyle w:val="BodyText"/>
        <w:rPr>
          <w:b/>
          <w:u w:val="none"/>
        </w:rPr>
      </w:pPr>
      <w:r>
        <w:rPr>
          <w:b/>
          <w:u w:val="none"/>
        </w:rPr>
        <w:t>December 14, 2000</w:t>
      </w:r>
    </w:p>
    <w:p>
      <w:pPr>
        <w:pStyle w:val="BodyText"/>
        <w:rPr>
          <w:b/>
          <w:u w:val="none"/>
        </w:rPr>
      </w:pPr>
      <w:r>
        <w:rPr>
          <w:b/>
          <w:u w:val="none"/>
        </w:rPr>
        <w:t>E-mail from Calvin M. Yee to Evan Hughes and Diann Huddleson</w:t>
      </w:r>
    </w:p>
    <w:p>
      <w:pPr>
        <w:pStyle w:val="BodyText"/>
        <w:rPr>
          <w:b/>
          <w:u w:val="none"/>
        </w:rPr>
      </w:pPr>
      <w:r>
        <w:rPr>
          <w:b/>
          <w:u w:val="none"/>
        </w:rPr>
        <w:t>ESP Relations</w:t>
      </w:r>
    </w:p>
    <w:p>
      <w:pPr>
        <w:pStyle w:val="BodyText"/>
        <w:rPr>
          <w:b/>
          <w:u w:val="none"/>
        </w:rPr>
      </w:pPr>
      <w:r>
        <w:rPr>
          <w:b/>
          <w:u w:val="none"/>
        </w:rPr>
        <w:t>Pacific Gas &amp; Electric Company</w:t>
      </w:r>
    </w:p>
    <w:p>
      <w:pPr>
        <w:pStyle w:val="BodyText"/>
        <w:rPr>
          <w:b/>
          <w:u w:val="none"/>
        </w:rPr>
      </w:pPr>
      <w:r>
        <w:rPr>
          <w:b/>
          <w:u w:val="none"/>
        </w:rPr>
      </w:r>
    </w:p>
    <w:p>
      <w:pPr>
        <w:pStyle w:val="BodyText"/>
        <w:rPr>
          <w:u w:val="none"/>
        </w:rPr>
      </w:pPr>
      <w:r>
        <w:rPr>
          <w:u w:val="none"/>
        </w:rPr>
        <w:t>Subject:</w:t>
      </w:r>
    </w:p>
    <w:p>
      <w:pPr>
        <w:pStyle w:val="BodyText"/>
        <w:rPr/>
      </w:pPr>
      <w:r>
        <w:rPr/>
        <w:t>Enron Credit Refunds</w:t>
      </w:r>
      <w:r>
        <w:rPr>
          <w:u w:val="none"/>
        </w:rPr>
        <w:t>.  This e-mail was a result of a visit by Diann and Evan to PG&amp;E’s offices on 12/14/2000.  It provides information re PX credit amounts and presents a payment schedule as follows:</w:t>
      </w:r>
    </w:p>
    <w:p>
      <w:pPr>
        <w:pStyle w:val="BodyText"/>
        <w:rPr>
          <w:u w:val="none"/>
        </w:rPr>
      </w:pPr>
      <w:r>
        <w:rPr>
          <w:u w:val="none"/>
        </w:rPr>
      </w:r>
    </w:p>
    <w:p>
      <w:pPr>
        <w:pStyle w:val="BodyText"/>
        <w:rPr>
          <w:u w:val="none"/>
        </w:rPr>
      </w:pPr>
      <w:r>
        <w:rPr>
          <w:u w:val="none"/>
        </w:rPr>
        <w:tab/>
        <w:t>December 15, 2000</w:t>
        <w:tab/>
        <w:tab/>
        <w:tab/>
        <w:t>36,768,994.03</w:t>
        <w:tab/>
      </w:r>
    </w:p>
    <w:p>
      <w:pPr>
        <w:pStyle w:val="BodyText"/>
        <w:rPr>
          <w:u w:val="none"/>
        </w:rPr>
      </w:pPr>
      <w:r>
        <w:rPr>
          <w:u w:val="none"/>
        </w:rPr>
        <w:tab/>
        <w:t>December 18, 2000</w:t>
        <w:tab/>
        <w:tab/>
        <w:tab/>
        <w:t>32,939,028.91</w:t>
      </w:r>
    </w:p>
    <w:p>
      <w:pPr>
        <w:pStyle w:val="BodyText"/>
        <w:rPr>
          <w:u w:val="none"/>
        </w:rPr>
      </w:pPr>
      <w:r>
        <w:rPr>
          <w:u w:val="none"/>
        </w:rPr>
      </w:r>
    </w:p>
    <w:p>
      <w:pPr>
        <w:pStyle w:val="BodyText"/>
        <w:rPr>
          <w:u w:val="none"/>
        </w:rPr>
      </w:pPr>
      <w:r>
        <w:rPr>
          <w:u w:val="none"/>
        </w:rPr>
        <w:t xml:space="preserve">It also contains a commitment to reconcile the EEMC book by 12/18, and estimates the amount to be approximately $34.2 million.  The payment for these accounts was expected to be within two days of getting the account reconciliation completed.  </w:t>
      </w:r>
    </w:p>
    <w:p>
      <w:pPr>
        <w:pStyle w:val="Normal"/>
        <w:rPr>
          <w:u w:val="none"/>
        </w:rPr>
      </w:pPr>
      <w:r>
        <w:rPr>
          <w:u w:val="none"/>
        </w:rPr>
      </w:r>
    </w:p>
    <w:p>
      <w:pPr>
        <w:pStyle w:val="Normal"/>
        <w:rPr>
          <w:b/>
        </w:rPr>
      </w:pPr>
      <w:r>
        <w:rPr>
          <w:b/>
        </w:rPr>
        <w:t>December 22, 2000</w:t>
      </w:r>
    </w:p>
    <w:p>
      <w:pPr>
        <w:pStyle w:val="Normal"/>
        <w:rPr>
          <w:b/>
        </w:rPr>
      </w:pPr>
      <w:r>
        <w:rPr>
          <w:b/>
        </w:rPr>
        <w:t>Pacific Gas &amp; Electric Company letter to Michael D. Smith</w:t>
      </w:r>
    </w:p>
    <w:p>
      <w:pPr>
        <w:pStyle w:val="Normal"/>
        <w:rPr>
          <w:b/>
        </w:rPr>
      </w:pPr>
      <w:r>
        <w:rPr>
          <w:b/>
        </w:rPr>
        <w:t>Enron Energy Services</w:t>
      </w:r>
    </w:p>
    <w:p>
      <w:pPr>
        <w:pStyle w:val="Normal"/>
        <w:rPr>
          <w:b/>
        </w:rPr>
      </w:pPr>
      <w:r>
        <w:rPr>
          <w:b/>
        </w:rPr>
        <w:t xml:space="preserve">Letter was from Roger J. Peters, Senior Vice President and General Counsel </w:t>
      </w:r>
    </w:p>
    <w:p>
      <w:pPr>
        <w:pStyle w:val="Normal"/>
        <w:rPr>
          <w:b/>
        </w:rPr>
      </w:pPr>
      <w:r>
        <w:rPr>
          <w:b/>
        </w:rPr>
      </w:r>
    </w:p>
    <w:p>
      <w:pPr>
        <w:pStyle w:val="Normal"/>
        <w:rPr/>
      </w:pPr>
      <w:r>
        <w:rPr/>
        <w:t>Subject:</w:t>
      </w:r>
    </w:p>
    <w:p>
      <w:pPr>
        <w:pStyle w:val="Normal"/>
        <w:rPr/>
      </w:pPr>
      <w:r>
        <w:rPr/>
        <w:t>“</w:t>
      </w:r>
      <w:r>
        <w:rPr/>
        <w:t>Negative CTC” Credits</w:t>
      </w:r>
    </w:p>
    <w:p>
      <w:pPr>
        <w:pStyle w:val="Normal"/>
        <w:rPr/>
      </w:pPr>
      <w:r>
        <w:rPr/>
      </w:r>
    </w:p>
    <w:p>
      <w:pPr>
        <w:pStyle w:val="Normal"/>
        <w:rPr/>
      </w:pPr>
      <w:r>
        <w:rPr/>
        <w:t>Narrative:</w:t>
      </w:r>
    </w:p>
    <w:p>
      <w:pPr>
        <w:pStyle w:val="Normal"/>
        <w:rPr/>
      </w:pPr>
      <w:r>
        <w:rPr/>
        <w:t>PG&amp;E advises Enron that it had been implementing a policy by which it paid the negative CTC to energy service providers that provide consolidated billing in circumstances where certain criteria were met.  PG&amp;E has done that notwithstanding the fact that the appropriateness of these credits was uncertain.</w:t>
      </w:r>
    </w:p>
    <w:p>
      <w:pPr>
        <w:pStyle w:val="Normal"/>
        <w:rPr/>
      </w:pPr>
      <w:r>
        <w:rPr/>
      </w:r>
    </w:p>
    <w:p>
      <w:pPr>
        <w:pStyle w:val="Normal"/>
        <w:rPr/>
      </w:pPr>
      <w:r>
        <w:rPr/>
        <w:t>Notification</w:t>
      </w:r>
    </w:p>
    <w:p>
      <w:pPr>
        <w:pStyle w:val="Normal"/>
        <w:rPr/>
      </w:pPr>
      <w:r>
        <w:rPr/>
      </w:r>
    </w:p>
    <w:p>
      <w:pPr>
        <w:pStyle w:val="Normal"/>
        <w:rPr/>
      </w:pPr>
      <w:r>
        <w:rPr/>
        <w:t>PG&amp;E notifies Enron that as of December 21, and subsequent to a petition to the California Public Utilities Commission, PG&amp;E would be suspending this policy.  The issues referenced as support of above decision are:</w:t>
      </w:r>
    </w:p>
    <w:p>
      <w:pPr>
        <w:pStyle w:val="Normal"/>
        <w:rPr/>
      </w:pPr>
      <w:r>
        <w:rPr/>
      </w:r>
    </w:p>
    <w:p>
      <w:pPr>
        <w:pStyle w:val="Normal"/>
        <w:numPr>
          <w:ilvl w:val="0"/>
          <w:numId w:val="8"/>
        </w:numPr>
        <w:rPr/>
      </w:pPr>
      <w:r>
        <w:rPr/>
        <w:t>Two key aspects of PG&amp;E’s policy could be affected by the current uncertainty surrounding the status of the California energy market</w:t>
      </w:r>
    </w:p>
    <w:p>
      <w:pPr>
        <w:pStyle w:val="Normal"/>
        <w:numPr>
          <w:ilvl w:val="1"/>
          <w:numId w:val="3"/>
        </w:numPr>
        <w:rPr/>
      </w:pPr>
      <w:r>
        <w:rPr/>
        <w:t>the lawfulness of “negative CTC”</w:t>
      </w:r>
    </w:p>
    <w:p>
      <w:pPr>
        <w:pStyle w:val="Normal"/>
        <w:numPr>
          <w:ilvl w:val="1"/>
          <w:numId w:val="3"/>
        </w:numPr>
        <w:rPr/>
      </w:pPr>
      <w:r>
        <w:rPr/>
        <w:t>the ownership of those credits</w:t>
      </w:r>
    </w:p>
    <w:p>
      <w:pPr>
        <w:pStyle w:val="Normal"/>
        <w:numPr>
          <w:ilvl w:val="0"/>
          <w:numId w:val="8"/>
        </w:numPr>
        <w:rPr/>
      </w:pPr>
      <w:r>
        <w:rPr/>
        <w:t>Claim that the conditions for terminating the existing rate freeze were satisfied (Application 00-11-056)</w:t>
      </w:r>
    </w:p>
    <w:p>
      <w:pPr>
        <w:pStyle w:val="Normal"/>
        <w:numPr>
          <w:ilvl w:val="0"/>
          <w:numId w:val="8"/>
        </w:numPr>
        <w:rPr/>
      </w:pPr>
      <w:r>
        <w:rPr/>
        <w:t xml:space="preserve">Implications of the fact that the “negative CTC” credits at issue are based on prices that the FERC has recently determined were not just and reasonable, and thus subject to refund.  </w:t>
      </w:r>
    </w:p>
    <w:p>
      <w:pPr>
        <w:pStyle w:val="Normal"/>
        <w:numPr>
          <w:ilvl w:val="0"/>
          <w:numId w:val="8"/>
        </w:numPr>
        <w:rPr/>
      </w:pPr>
      <w:r>
        <w:rPr/>
        <w:t>PG&amp;E’s precarious financial condition, caused by the out-of-control market</w:t>
      </w:r>
    </w:p>
    <w:p>
      <w:pPr>
        <w:pStyle w:val="Normal"/>
        <w:numPr>
          <w:ilvl w:val="0"/>
          <w:numId w:val="8"/>
        </w:numPr>
        <w:rPr/>
      </w:pPr>
      <w:r>
        <w:rPr/>
        <w:t xml:space="preserve">Prudent to await CPUC direction before making further payments.  </w:t>
      </w:r>
    </w:p>
    <w:p>
      <w:pPr>
        <w:pStyle w:val="Normal"/>
        <w:numPr>
          <w:ilvl w:val="0"/>
          <w:numId w:val="8"/>
        </w:numPr>
        <w:rPr/>
      </w:pPr>
      <w:r>
        <w:rPr/>
        <w:t>May impact PG&amp;E’s goal to provide uninterrupted customer service</w:t>
      </w:r>
    </w:p>
    <w:p>
      <w:pPr>
        <w:pStyle w:val="Normal"/>
        <w:rPr/>
      </w:pPr>
      <w:r>
        <w:rPr/>
      </w:r>
    </w:p>
    <w:p>
      <w:pPr>
        <w:pStyle w:val="Normal"/>
        <w:rPr/>
      </w:pPr>
      <w:r>
        <w:rPr/>
        <w:t>Hence, “We, therefore, do not believe it appropriate or in the best interests of our customers to send a disputed $150 million payment in this time of crisis.”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4">
    <w:name w:val="WW8Num4z4"/>
    <w:qFormat/>
    <w:rPr>
      <w:rFonts w:ascii="Courier New" w:hAnsi="Courier New" w:cs="Courier New"/>
    </w:rPr>
  </w:style>
  <w:style w:type="character" w:styleId="WW8Num4z5">
    <w:name w:val="WW8Num4z5"/>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Subtitle">
    <w:name w:val="Subtitle"/>
    <w:basedOn w:val="Normal"/>
    <w:next w:val="BodyText"/>
    <w:qFormat/>
    <w:pPr/>
    <w:rPr>
      <w:b/>
      <w:bCs/>
      <w:u w:val="single"/>
    </w:rPr>
  </w:style>
  <w:style w:type="paragraph" w:styleId="BodyTextIndent2">
    <w:name w:val="Body Text Indent 2"/>
    <w:basedOn w:val="Normal"/>
    <w:qFormat/>
    <w:pPr>
      <w:ind w:hanging="720" w:start="2880" w:end="0"/>
    </w:pPr>
    <w:rPr/>
  </w:style>
  <w:style w:type="paragraph" w:styleId="BodyText2">
    <w:name w:val="Body Text 2"/>
    <w:basedOn w:val="Normal"/>
    <w:qFormat/>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2001-08-01T20:12:00Z</dcterms:created>
  <dc:creator>rbuerge</dc:creator>
  <dc:description/>
  <dc:language>en-CA</dc:language>
  <cp:lastModifiedBy>jsteffe</cp:lastModifiedBy>
  <cp:lastPrinted>2001-08-01T17:36:00Z</cp:lastPrinted>
  <dcterms:modified xsi:type="dcterms:W3CDTF">2001-08-01T20:12:00Z</dcterms:modified>
  <cp:revision>2</cp:revision>
  <dc:subject/>
  <dc:title>July 31, 2001</dc:title>
</cp:coreProperties>
</file>