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b/>
        </w:rPr>
      </w:pPr>
      <w:r>
        <w:rPr>
          <w:b/>
        </w:rPr>
      </w:r>
    </w:p>
    <w:p>
      <w:pPr>
        <w:pStyle w:val="Normal"/>
        <w:tabs>
          <w:tab w:val="clear" w:pos="720"/>
          <w:tab w:val="center" w:pos="4680" w:leader="none"/>
        </w:tabs>
        <w:suppressAutoHyphens w:val="true"/>
        <w:jc w:val="both"/>
        <w:rPr/>
      </w:pPr>
      <w:r>
        <w:rPr>
          <w:b/>
        </w:rPr>
        <w:tab/>
      </w:r>
      <w:r>
        <w:rPr>
          <w:b/>
          <w:u w:val="single"/>
        </w:rPr>
        <w:t>CONTRACTOR’S BACKCHARGE PROCEDURE</w:t>
      </w:r>
    </w:p>
    <w:p>
      <w:pPr>
        <w:pStyle w:val="Normal"/>
        <w:tabs>
          <w:tab w:val="clear" w:pos="720"/>
          <w:tab w:val="left" w:pos="-720" w:leader="none"/>
        </w:tabs>
        <w:suppressAutoHyphens w:val="true"/>
        <w:jc w:val="both"/>
        <w:rPr/>
      </w:pPr>
      <w:r>
        <w:rPr/>
      </w:r>
    </w:p>
    <w:p>
      <w:pPr>
        <w:pStyle w:val="Heading1"/>
        <w:ind w:hanging="0" w:start="0"/>
        <w:rPr>
          <w:shd w:fill="auto" w:val="clear"/>
        </w:rPr>
      </w:pPr>
      <w:r>
        <w:rPr>
          <w:shd w:fill="auto" w:val="clear"/>
        </w:rPr>
        <w:t>Introduction</w:t>
      </w:r>
    </w:p>
    <w:p>
      <w:pPr>
        <w:pStyle w:val="Normal"/>
        <w:tabs>
          <w:tab w:val="clear" w:pos="720"/>
          <w:tab w:val="left" w:pos="-720" w:leader="none"/>
        </w:tabs>
        <w:suppressAutoHyphens w:val="true"/>
        <w:jc w:val="both"/>
        <w:rPr/>
      </w:pPr>
      <w:r>
        <w:rPr/>
        <w:t>A backcharge is a method by which Contractor can recover from Subcontractor all related expenses and costs incurred to correct, repair, or replace an assigned item of Subcontractor’s work.  This includes, but is not limited to, malfunctions, failure to meet specifications, or other non-conforming acts or omissions of Contractor’s purchase order, and/or subcontract requirements, and overs, shorts or damages (OS&amp;D).</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pPr>
      <w:r>
        <w:rPr/>
      </w:r>
    </w:p>
    <w:p>
      <w:pPr>
        <w:pStyle w:val="Heading1"/>
        <w:ind w:hanging="0" w:start="0"/>
        <w:rPr>
          <w:shd w:fill="auto" w:val="clear"/>
        </w:rPr>
      </w:pPr>
      <w:r>
        <w:rPr>
          <w:shd w:fill="auto" w:val="clear"/>
        </w:rPr>
        <w:t>Notification</w:t>
      </w:r>
    </w:p>
    <w:p>
      <w:pPr>
        <w:pStyle w:val="Normal"/>
        <w:tabs>
          <w:tab w:val="clear" w:pos="720"/>
          <w:tab w:val="left" w:pos="-720" w:leader="none"/>
        </w:tabs>
        <w:suppressAutoHyphens w:val="true"/>
        <w:jc w:val="both"/>
        <w:rPr/>
      </w:pPr>
      <w:r>
        <w:rPr/>
        <w:t>On knowledge of a possible backcharge, Contractor will notify the Subcontractor of the backcharge and shall request their proposed method of handling.  Subcontractor will first be given the opportunity to inspect and correct the condition considering time parameters established by Contractor.  Should time or conditions not allow Contractor the flexibility of accommodating Subcontractor’s schedule to correct the conditions, Contractor shall act on Subcontractor’s behalf without prejudice to Subcontractor’s contractual obligations, including warranty.</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pPr>
      <w:r>
        <w:rPr/>
      </w:r>
    </w:p>
    <w:p>
      <w:pPr>
        <w:pStyle w:val="Heading1"/>
        <w:ind w:hanging="0" w:start="0"/>
        <w:rPr>
          <w:shd w:fill="auto" w:val="clear"/>
        </w:rPr>
      </w:pPr>
      <w:r>
        <w:rPr>
          <w:shd w:fill="auto" w:val="clear"/>
        </w:rPr>
        <w:t>Execution</w:t>
      </w:r>
    </w:p>
    <w:p>
      <w:pPr>
        <w:pStyle w:val="BodyText"/>
        <w:rPr/>
      </w:pPr>
      <w:r>
        <w:rPr/>
        <w:t>Contractor shall evaluate all recommended methods of correction and select the method most economical and advantageous to the project.  All verbal instructions from Subcontractor shall be followed up with a letter of confirmation from Subcontractor.</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pPr>
      <w:r>
        <w:rPr/>
        <w:t>As time permits, and availability of Subcontractor’s authorized personnel, Contractor will make reasonable attempts to obtain a signature on the backcharge before any work is performed.  Subcontractor's representative on the project site shall be requested to sign copies of all labor and equipment time sheets and all material and supply acquisitions.</w:t>
      </w:r>
    </w:p>
    <w:p>
      <w:pPr>
        <w:pStyle w:val="Normal"/>
        <w:tabs>
          <w:tab w:val="clear" w:pos="720"/>
          <w:tab w:val="left" w:pos="-720" w:leader="none"/>
        </w:tabs>
        <w:suppressAutoHyphens w:val="true"/>
        <w:jc w:val="both"/>
        <w:rPr/>
      </w:pPr>
      <w:r>
        <w:rPr/>
      </w:r>
    </w:p>
    <w:p>
      <w:pPr>
        <w:pStyle w:val="BodyText"/>
        <w:rPr/>
      </w:pPr>
      <w:r>
        <w:rPr/>
        <w:t>Contractor may, time permitting, prepare an estimate of charges, if requested by Subcontractor.</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pPr>
      <w:r>
        <w:rPr/>
      </w:r>
    </w:p>
    <w:p>
      <w:pPr>
        <w:pStyle w:val="Heading1"/>
        <w:ind w:hanging="0" w:start="0"/>
        <w:rPr>
          <w:shd w:fill="auto" w:val="clear"/>
        </w:rPr>
      </w:pPr>
      <w:r>
        <w:rPr>
          <w:shd w:fill="auto" w:val="clear"/>
        </w:rPr>
        <w:t>Authorization</w:t>
      </w:r>
    </w:p>
    <w:p>
      <w:pPr>
        <w:pStyle w:val="BodyText"/>
        <w:rPr/>
      </w:pPr>
      <w:r>
        <w:rPr/>
        <w:t>While Contractor has designed a form (Field Work Authorization for Backcharge) to facilitate communication of acceptance, other forms of communication/acknowledgement may be considered valid as well.</w:t>
      </w:r>
    </w:p>
    <w:p>
      <w:pPr>
        <w:pStyle w:val="BodyText"/>
        <w:rPr/>
      </w:pPr>
      <w:r>
        <w:rPr/>
      </w:r>
    </w:p>
    <w:p>
      <w:pPr>
        <w:pStyle w:val="BodyText"/>
        <w:tabs>
          <w:tab w:val="left" w:pos="-720" w:leader="none"/>
          <w:tab w:val="left" w:pos="270" w:leader="none"/>
        </w:tabs>
        <w:rPr/>
      </w:pPr>
      <w:r>
        <w:rPr/>
        <w:t>Contractor’s receipt of an approved/accepted Authorization for Backcharge shall be the approval to proceed.  However, failure of Subcontractor to provide such authorization shall not be a reason for Contractor to delay necessary action when the best interests of the project require same, nor excuse Subcontractor’s contractual obligations or accountability for associated costs/liabilities.</w:t>
      </w:r>
      <w:r>
        <w:br w:type="page"/>
      </w:r>
    </w:p>
    <w:p>
      <w:pPr>
        <w:pStyle w:val="Normal"/>
        <w:tabs>
          <w:tab w:val="clear" w:pos="720"/>
          <w:tab w:val="left" w:pos="-720" w:leader="none"/>
        </w:tabs>
        <w:suppressAutoHyphens w:val="true"/>
        <w:jc w:val="both"/>
        <w:rPr/>
      </w:pPr>
      <w:r>
        <w:rPr/>
      </w:r>
    </w:p>
    <w:p>
      <w:pPr>
        <w:pStyle w:val="BodyText"/>
        <w:rPr>
          <w:b/>
          <w:u w:val="single"/>
        </w:rPr>
      </w:pPr>
      <w:r>
        <w:rPr>
          <w:b/>
          <w:u w:val="single"/>
        </w:rPr>
        <w:t>Reconciliation</w:t>
      </w:r>
    </w:p>
    <w:p>
      <w:pPr>
        <w:pStyle w:val="Normal"/>
        <w:tabs>
          <w:tab w:val="clear" w:pos="720"/>
          <w:tab w:val="left" w:pos="-720" w:leader="none"/>
        </w:tabs>
        <w:suppressAutoHyphens w:val="true"/>
        <w:jc w:val="both"/>
        <w:rPr/>
      </w:pPr>
      <w:r>
        <w:rPr/>
        <w:t>Backcharge costs will include, but not necessarily be limited to, the following:</w:t>
      </w:r>
    </w:p>
    <w:p>
      <w:pPr>
        <w:pStyle w:val="Normal"/>
        <w:tabs>
          <w:tab w:val="clear" w:pos="720"/>
          <w:tab w:val="left" w:pos="-720" w:leader="none"/>
        </w:tabs>
        <w:suppressAutoHyphens w:val="true"/>
        <w:jc w:val="both"/>
        <w:rPr/>
      </w:pPr>
      <w:r>
        <w:rPr/>
      </w:r>
    </w:p>
    <w:p>
      <w:pPr>
        <w:pStyle w:val="Normal"/>
        <w:tabs>
          <w:tab w:val="left" w:pos="-720" w:leader="none"/>
          <w:tab w:val="left" w:pos="0" w:leader="none"/>
          <w:tab w:val="left" w:pos="720" w:leader="none"/>
        </w:tabs>
        <w:suppressAutoHyphens w:val="true"/>
        <w:ind w:hanging="1440" w:start="1440" w:end="0"/>
        <w:jc w:val="both"/>
        <w:rPr/>
      </w:pPr>
      <w:r>
        <w:rPr/>
        <w:tab/>
        <w:t>1.</w:t>
        <w:tab/>
        <w:t>Direct labor hours at a fully burdened rate</w:t>
      </w:r>
    </w:p>
    <w:p>
      <w:pPr>
        <w:pStyle w:val="Normal"/>
        <w:tabs>
          <w:tab w:val="clear" w:pos="720"/>
          <w:tab w:val="left" w:pos="-720" w:leader="none"/>
        </w:tabs>
        <w:suppressAutoHyphens w:val="true"/>
        <w:jc w:val="both"/>
        <w:rPr/>
      </w:pPr>
      <w:r>
        <w:rPr/>
      </w:r>
    </w:p>
    <w:p>
      <w:pPr>
        <w:pStyle w:val="Normal"/>
        <w:tabs>
          <w:tab w:val="left" w:pos="-720" w:leader="none"/>
          <w:tab w:val="left" w:pos="0" w:leader="none"/>
          <w:tab w:val="left" w:pos="720" w:leader="none"/>
        </w:tabs>
        <w:suppressAutoHyphens w:val="true"/>
        <w:ind w:hanging="1440" w:start="1440" w:end="0"/>
        <w:jc w:val="both"/>
        <w:rPr/>
      </w:pPr>
      <w:r>
        <w:rPr/>
        <w:tab/>
        <w:t>2.</w:t>
        <w:tab/>
        <w:t>Direct costs of 3</w:t>
      </w:r>
      <w:r>
        <w:rPr>
          <w:vertAlign w:val="superscript"/>
        </w:rPr>
        <w:t>rd</w:t>
      </w:r>
      <w:r>
        <w:rPr/>
        <w:t xml:space="preserve"> party subcontractors, material and supplies.</w:t>
      </w:r>
    </w:p>
    <w:p>
      <w:pPr>
        <w:pStyle w:val="Normal"/>
        <w:tabs>
          <w:tab w:val="clear" w:pos="720"/>
          <w:tab w:val="left" w:pos="-720" w:leader="none"/>
        </w:tabs>
        <w:suppressAutoHyphens w:val="true"/>
        <w:jc w:val="both"/>
        <w:rPr/>
      </w:pPr>
      <w:r>
        <w:rPr/>
      </w:r>
    </w:p>
    <w:p>
      <w:pPr>
        <w:pStyle w:val="BodyTextIndent"/>
        <w:rPr/>
      </w:pPr>
      <w:r>
        <w:rPr/>
        <w:tab/>
        <w:t>3.</w:t>
        <w:tab/>
        <w:t>Direct construction equipment usage based on current published AED green rates, plus appropriate burden to include insurance, fuel oil and grease (preventative/maintenance) etc.  Equipment costs shall be based on actual hours equipment is in use and in transit.  Hourly rates shall be computed at 1/175 of the equipment monthly rental rate.</w:t>
      </w:r>
    </w:p>
    <w:p>
      <w:pPr>
        <w:pStyle w:val="Normal"/>
        <w:tabs>
          <w:tab w:val="clear" w:pos="720"/>
          <w:tab w:val="left" w:pos="-720" w:leader="none"/>
        </w:tabs>
        <w:suppressAutoHyphens w:val="true"/>
        <w:jc w:val="both"/>
        <w:rPr/>
      </w:pPr>
      <w:r>
        <w:rPr/>
      </w:r>
    </w:p>
    <w:p>
      <w:pPr>
        <w:pStyle w:val="Normal"/>
        <w:numPr>
          <w:ilvl w:val="0"/>
          <w:numId w:val="2"/>
        </w:numPr>
        <w:tabs>
          <w:tab w:val="left" w:pos="-720" w:leader="none"/>
          <w:tab w:val="left" w:pos="0" w:leader="none"/>
          <w:tab w:val="left" w:pos="720" w:leader="none"/>
        </w:tabs>
        <w:suppressAutoHyphens w:val="true"/>
        <w:jc w:val="both"/>
        <w:rPr/>
      </w:pPr>
      <w:r>
        <w:rPr/>
        <w:t>Direct design engineering hours at a fully burdened rate.</w:t>
      </w:r>
    </w:p>
    <w:p>
      <w:pPr>
        <w:pStyle w:val="Normal"/>
        <w:tabs>
          <w:tab w:val="left" w:pos="-720" w:leader="none"/>
          <w:tab w:val="left" w:pos="0" w:leader="none"/>
          <w:tab w:val="left" w:pos="720" w:leader="none"/>
        </w:tabs>
        <w:suppressAutoHyphens w:val="true"/>
        <w:ind w:start="720" w:end="0"/>
        <w:jc w:val="both"/>
        <w:rPr/>
      </w:pPr>
      <w:r>
        <w:rPr/>
      </w:r>
    </w:p>
    <w:p>
      <w:pPr>
        <w:pStyle w:val="Normal"/>
        <w:numPr>
          <w:ilvl w:val="0"/>
          <w:numId w:val="2"/>
        </w:numPr>
        <w:tabs>
          <w:tab w:val="left" w:pos="-720" w:leader="none"/>
          <w:tab w:val="left" w:pos="0" w:leader="none"/>
          <w:tab w:val="left" w:pos="720" w:leader="none"/>
        </w:tabs>
        <w:suppressAutoHyphens w:val="true"/>
        <w:jc w:val="both"/>
        <w:rPr/>
      </w:pPr>
      <w:r>
        <w:rPr/>
        <w:t>Direct cost of 3</w:t>
      </w:r>
      <w:r>
        <w:rPr>
          <w:vertAlign w:val="superscript"/>
        </w:rPr>
        <w:t>rd</w:t>
      </w:r>
      <w:r>
        <w:rPr/>
        <w:t xml:space="preserve"> party rentals, plus insurance, fuel oil and grease (preventative/ maintenance).</w:t>
      </w:r>
    </w:p>
    <w:p>
      <w:pPr>
        <w:pStyle w:val="Normal"/>
        <w:tabs>
          <w:tab w:val="left" w:pos="-720" w:leader="none"/>
          <w:tab w:val="left" w:pos="0" w:leader="none"/>
          <w:tab w:val="left" w:pos="720" w:leader="none"/>
        </w:tabs>
        <w:suppressAutoHyphens w:val="true"/>
        <w:jc w:val="both"/>
        <w:rPr/>
      </w:pPr>
      <w:r>
        <w:rPr/>
      </w:r>
    </w:p>
    <w:p>
      <w:pPr>
        <w:pStyle w:val="Normal"/>
        <w:numPr>
          <w:ilvl w:val="0"/>
          <w:numId w:val="2"/>
        </w:numPr>
        <w:tabs>
          <w:tab w:val="left" w:pos="-720" w:leader="none"/>
          <w:tab w:val="left" w:pos="0" w:leader="none"/>
          <w:tab w:val="left" w:pos="720" w:leader="none"/>
        </w:tabs>
        <w:suppressAutoHyphens w:val="true"/>
        <w:jc w:val="both"/>
        <w:rPr/>
      </w:pPr>
      <w:r>
        <w:rPr/>
        <w:t>Mark-up &amp; Fees in addition to above costs applied as follows:</w:t>
      </w:r>
    </w:p>
    <w:p>
      <w:pPr>
        <w:pStyle w:val="Normal"/>
        <w:tabs>
          <w:tab w:val="left" w:pos="-720" w:leader="none"/>
          <w:tab w:val="left" w:pos="0" w:leader="none"/>
          <w:tab w:val="left" w:pos="720" w:leader="none"/>
        </w:tabs>
        <w:suppressAutoHyphens w:val="true"/>
        <w:jc w:val="both"/>
        <w:rPr/>
      </w:pPr>
      <w:r>
        <w:rPr/>
      </w:r>
    </w:p>
    <w:p>
      <w:pPr>
        <w:pStyle w:val="Normal"/>
        <w:tabs>
          <w:tab w:val="left" w:pos="-720" w:leader="none"/>
          <w:tab w:val="left" w:pos="0" w:leader="none"/>
          <w:tab w:val="left" w:pos="720" w:leader="none"/>
        </w:tabs>
        <w:suppressAutoHyphens w:val="true"/>
        <w:ind w:start="1440" w:end="0"/>
        <w:jc w:val="both"/>
        <w:rPr/>
      </w:pPr>
      <w:r>
        <w:rPr/>
        <w:t>Overhead</w:t>
        <w:tab/>
        <w:t>10%</w:t>
      </w:r>
    </w:p>
    <w:p>
      <w:pPr>
        <w:pStyle w:val="Normal"/>
        <w:tabs>
          <w:tab w:val="left" w:pos="-720" w:leader="none"/>
          <w:tab w:val="left" w:pos="0" w:leader="none"/>
          <w:tab w:val="left" w:pos="720" w:leader="none"/>
        </w:tabs>
        <w:suppressAutoHyphens w:val="true"/>
        <w:ind w:start="1440" w:end="0"/>
        <w:jc w:val="both"/>
        <w:rPr/>
      </w:pPr>
      <w:r>
        <w:rPr/>
        <w:t>Profit</w:t>
        <w:tab/>
        <w:tab/>
        <w:t>10%</w:t>
      </w:r>
    </w:p>
    <w:p>
      <w:pPr>
        <w:pStyle w:val="Heading1"/>
        <w:tabs>
          <w:tab w:val="left" w:pos="-720" w:leader="none"/>
          <w:tab w:val="left" w:pos="0" w:leader="none"/>
          <w:tab w:val="left" w:pos="720" w:leader="none"/>
        </w:tabs>
        <w:ind w:hanging="0" w:start="0"/>
        <w:rPr>
          <w:shd w:fill="auto" w:val="clear"/>
        </w:rPr>
      </w:pPr>
      <w:r>
        <w:rPr>
          <w:shd w:fill="auto" w:val="clear"/>
        </w:rPr>
      </w:r>
    </w:p>
    <w:p>
      <w:pPr>
        <w:pStyle w:val="Heading1"/>
        <w:tabs>
          <w:tab w:val="left" w:pos="-720" w:leader="none"/>
          <w:tab w:val="left" w:pos="0" w:leader="none"/>
          <w:tab w:val="left" w:pos="720" w:leader="none"/>
        </w:tabs>
        <w:ind w:hanging="0" w:start="0"/>
        <w:rPr>
          <w:shd w:fill="auto" w:val="clear"/>
        </w:rPr>
      </w:pPr>
      <w:r>
        <w:rPr>
          <w:shd w:fill="auto" w:val="clear"/>
        </w:rPr>
        <w:t>Collection</w:t>
      </w:r>
    </w:p>
    <w:p>
      <w:pPr>
        <w:pStyle w:val="Normal"/>
        <w:tabs>
          <w:tab w:val="left" w:pos="-720" w:leader="none"/>
          <w:tab w:val="left" w:pos="0" w:leader="none"/>
          <w:tab w:val="left" w:pos="720" w:leader="none"/>
        </w:tabs>
        <w:suppressAutoHyphens w:val="true"/>
        <w:jc w:val="both"/>
        <w:rPr/>
      </w:pPr>
      <w:r>
        <w:rPr/>
        <w:t>The method of collection of Backcharges shall be solely at the discretion of Contractor and will include, but not necessarily be limited to the following:</w:t>
      </w:r>
    </w:p>
    <w:p>
      <w:pPr>
        <w:pStyle w:val="Normal"/>
        <w:tabs>
          <w:tab w:val="left" w:pos="-720" w:leader="none"/>
          <w:tab w:val="left" w:pos="0" w:leader="none"/>
          <w:tab w:val="left" w:pos="720" w:leader="none"/>
        </w:tabs>
        <w:suppressAutoHyphens w:val="true"/>
        <w:jc w:val="both"/>
        <w:rPr/>
      </w:pPr>
      <w:r>
        <w:rPr/>
      </w:r>
    </w:p>
    <w:p>
      <w:pPr>
        <w:pStyle w:val="Normal"/>
        <w:numPr>
          <w:ilvl w:val="0"/>
          <w:numId w:val="3"/>
        </w:numPr>
        <w:tabs>
          <w:tab w:val="left" w:pos="-720" w:leader="none"/>
          <w:tab w:val="left" w:pos="0" w:leader="none"/>
          <w:tab w:val="left" w:pos="720" w:leader="none"/>
          <w:tab w:val="left" w:pos="1440" w:leader="none"/>
        </w:tabs>
        <w:suppressAutoHyphens w:val="true"/>
        <w:ind w:hanging="270" w:start="990" w:end="0"/>
        <w:jc w:val="both"/>
        <w:rPr/>
      </w:pPr>
      <w:r>
        <w:rPr/>
        <w:t>Debit Memo</w:t>
      </w:r>
    </w:p>
    <w:p>
      <w:pPr>
        <w:pStyle w:val="Normal"/>
        <w:numPr>
          <w:ilvl w:val="0"/>
          <w:numId w:val="3"/>
        </w:numPr>
        <w:tabs>
          <w:tab w:val="left" w:pos="-720" w:leader="none"/>
          <w:tab w:val="left" w:pos="0" w:leader="none"/>
          <w:tab w:val="left" w:pos="720" w:leader="none"/>
          <w:tab w:val="left" w:pos="1440" w:leader="none"/>
        </w:tabs>
        <w:suppressAutoHyphens w:val="true"/>
        <w:ind w:hanging="270" w:start="990" w:end="0"/>
        <w:jc w:val="both"/>
        <w:rPr/>
      </w:pPr>
      <w:r>
        <w:rPr/>
        <w:t>Credit Change Order</w:t>
      </w:r>
    </w:p>
    <w:p>
      <w:pPr>
        <w:pStyle w:val="Normal"/>
        <w:numPr>
          <w:ilvl w:val="0"/>
          <w:numId w:val="3"/>
        </w:numPr>
        <w:tabs>
          <w:tab w:val="left" w:pos="-720" w:leader="none"/>
          <w:tab w:val="left" w:pos="0" w:leader="none"/>
          <w:tab w:val="left" w:pos="720" w:leader="none"/>
          <w:tab w:val="left" w:pos="1440" w:leader="none"/>
        </w:tabs>
        <w:suppressAutoHyphens w:val="true"/>
        <w:ind w:hanging="270" w:start="990" w:end="0"/>
        <w:jc w:val="both"/>
        <w:rPr/>
      </w:pPr>
      <w:r>
        <w:rPr/>
        <w:t>Set off against other monies owed by Contractor to Subcontractor</w:t>
      </w:r>
    </w:p>
    <w:p>
      <w:pPr>
        <w:pStyle w:val="Normal"/>
        <w:numPr>
          <w:ilvl w:val="0"/>
          <w:numId w:val="3"/>
        </w:numPr>
        <w:tabs>
          <w:tab w:val="left" w:pos="-720" w:leader="none"/>
          <w:tab w:val="left" w:pos="0" w:leader="none"/>
          <w:tab w:val="left" w:pos="720" w:leader="none"/>
          <w:tab w:val="left" w:pos="1440" w:leader="none"/>
        </w:tabs>
        <w:suppressAutoHyphens w:val="true"/>
        <w:ind w:hanging="270" w:start="990" w:end="0"/>
        <w:jc w:val="both"/>
        <w:rPr/>
      </w:pPr>
      <w:r>
        <w:rPr/>
        <w:t>Direct invoice for payment by Subcontractor</w:t>
      </w:r>
    </w:p>
    <w:p>
      <w:pPr>
        <w:pStyle w:val="Normal"/>
        <w:numPr>
          <w:ilvl w:val="0"/>
          <w:numId w:val="3"/>
        </w:numPr>
        <w:tabs>
          <w:tab w:val="left" w:pos="-720" w:leader="none"/>
          <w:tab w:val="left" w:pos="0" w:leader="none"/>
          <w:tab w:val="left" w:pos="720" w:leader="none"/>
          <w:tab w:val="left" w:pos="1440" w:leader="none"/>
        </w:tabs>
        <w:suppressAutoHyphens w:val="true"/>
        <w:ind w:hanging="270" w:start="990" w:end="0"/>
        <w:jc w:val="both"/>
        <w:rPr/>
      </w:pPr>
      <w:r>
        <w:rPr/>
        <w:t>Other Contractor reserved rights/remedies allowed by contract and/or law.</w:t>
      </w:r>
    </w:p>
    <w:p>
      <w:pPr>
        <w:pStyle w:val="Normal"/>
        <w:tabs>
          <w:tab w:val="left" w:pos="-720" w:leader="none"/>
          <w:tab w:val="left" w:pos="0" w:leader="none"/>
          <w:tab w:val="left" w:pos="720" w:leader="none"/>
        </w:tabs>
        <w:suppressAutoHyphens w:val="true"/>
        <w:ind w:start="1440" w:end="0"/>
        <w:jc w:val="both"/>
        <w:rPr/>
      </w:pPr>
      <w:r>
        <w:rPr/>
      </w:r>
    </w:p>
    <w:p>
      <w:pPr>
        <w:pStyle w:val="Normal"/>
        <w:tabs>
          <w:tab w:val="clear" w:pos="720"/>
          <w:tab w:val="left" w:pos="-720" w:leader="none"/>
        </w:tabs>
        <w:suppressAutoHyphens w:val="true"/>
        <w:jc w:val="both"/>
        <w:rPr/>
      </w:pPr>
      <w:r>
        <w:rPr/>
        <w:t>Failure of the Subcontractor to accept the backcharge shall not constitute indemnity of the Subcontractor, nor shall a backcharge be voided as a result of Subcontractor's failure to accept.  In the settlement of charges, Contractor’s decision shall be final.</w:t>
      </w:r>
    </w:p>
    <w:p>
      <w:pPr>
        <w:pStyle w:val="Normal"/>
        <w:tabs>
          <w:tab w:val="clear" w:pos="720"/>
          <w:tab w:val="left" w:pos="-720" w:leader="none"/>
        </w:tabs>
        <w:suppressAutoHyphens w:val="true"/>
        <w:jc w:val="both"/>
        <w:rPr/>
      </w:pPr>
      <w:r>
        <w:rPr/>
      </w:r>
    </w:p>
    <w:p>
      <w:pPr>
        <w:pStyle w:val="Normal"/>
        <w:tabs>
          <w:tab w:val="clear" w:pos="720"/>
          <w:tab w:val="left" w:pos="-720" w:leader="none"/>
        </w:tabs>
        <w:suppressAutoHyphens w:val="true"/>
        <w:jc w:val="both"/>
        <w:rPr/>
      </w:pPr>
      <w:r>
        <w:rPr/>
        <w:t>If applicable, the Subcontractor's final payment of retainage shall be withheld until any and all backcharges have been paid in full.</w:t>
      </w:r>
    </w:p>
    <w:p>
      <w:pPr>
        <w:pStyle w:val="Normal"/>
        <w:tabs>
          <w:tab w:val="clear" w:pos="720"/>
          <w:tab w:val="left" w:pos="-720" w:leader="none"/>
        </w:tabs>
        <w:suppressAutoHyphens w:val="true"/>
        <w:jc w:val="both"/>
        <w:rPr/>
      </w:pPr>
      <w:r>
        <w:rPr/>
      </w:r>
    </w:p>
    <w:sectPr>
      <w:footerReference w:type="default" r:id="rId2"/>
      <w:type w:val="nextPage"/>
      <w:pgSz w:w="12240" w:h="15840"/>
      <w:pgMar w:left="1440" w:right="1440" w:gutter="0" w:header="0" w:top="1440" w:footer="98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rPr>
        <w:rFonts w:ascii="Times;Times New Roman" w:hAnsi="Times;Times New Roman" w:cs="Times;Times New Roman"/>
        <w:sz w:val="16"/>
      </w:rPr>
    </w:pPr>
    <w:r>
      <w:rPr>
        <w:rFonts w:cs="Times;Times New Roman" w:ascii="Times;Times New Roman" w:hAnsi="Times;Times New Roman"/>
        <w:sz w:val="16"/>
      </w:rPr>
      <w:tab/>
    </w:r>
  </w:p>
  <w:p>
    <w:pPr>
      <w:pStyle w:val="Normal"/>
      <w:tabs>
        <w:tab w:val="clear" w:pos="720"/>
        <w:tab w:val="right" w:pos="9360" w:leader="none"/>
      </w:tabs>
      <w:suppressAutoHyphens w:val="true"/>
      <w:rPr>
        <w:rFonts w:ascii="Times;Times New Roman" w:hAnsi="Times;Times New Roman" w:cs="Times;Times New Roman"/>
        <w:sz w:val="16"/>
      </w:rPr>
    </w:pPr>
    <w:r>
      <w:rPr>
        <w:rFonts w:cs="Times;Times New Roman" w:ascii="Times;Times New Roman" w:hAnsi="Times;Times New Roman"/>
        <w:sz w:val="16"/>
      </w:rPr>
      <w:t>Contractor’s Backcharge Procedure</w:t>
      <w:tab/>
      <w:t>20 OCT 99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both"/>
      <w:outlineLvl w:val="0"/>
    </w:pPr>
    <w:rPr>
      <w:b/>
      <w:u w:val="single"/>
      <w:shd w:fill="D8D8D8" w:val="clear"/>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ind w:hanging="144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2001-03-02T18:14:00Z</dcterms:created>
  <dc:creator>EW/LN/CB</dc:creator>
  <dc:description/>
  <cp:keywords>calvert</cp:keywords>
  <dc:language>en-CA</dc:language>
  <cp:lastModifiedBy>Robert A. Alexander</cp:lastModifiedBy>
  <cp:lastPrinted>2001-03-02T12:44:00Z</cp:lastPrinted>
  <dcterms:modified xsi:type="dcterms:W3CDTF">2001-03-02T18:14:00Z</dcterms:modified>
  <cp:revision>2</cp:revision>
  <dc:subject/>
  <dc:title>calvert Frome</dc:title>
</cp:coreProperties>
</file>