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rPr/>
      </w:pPr>
      <w:r>
        <w:rPr>
          <w:b/>
        </w:rPr>
        <w:t>This Agreement</w:t>
      </w:r>
      <w:r>
        <w:rPr/>
        <w:t xml:space="preserve"> is made on [             ] 2000 </w:t>
      </w:r>
      <w:r>
        <w:rPr>
          <w:b/>
        </w:rPr>
        <w:t>between</w:t>
      </w:r>
      <w:r>
        <w:rPr/>
        <w:t>:</w:t>
      </w:r>
    </w:p>
    <w:p>
      <w:pPr>
        <w:pStyle w:val="Parties"/>
        <w:numPr>
          <w:ilvl w:val="0"/>
          <w:numId w:val="9"/>
        </w:numPr>
        <w:ind w:hanging="0" w:start="0"/>
        <w:rPr/>
      </w:pPr>
      <w:r>
        <w:rPr>
          <w:b/>
        </w:rPr>
        <w:t>ENRON NORTH AMERICA CORP.</w:t>
      </w:r>
      <w:r>
        <w:rPr/>
        <w:t xml:space="preserve"> (“</w:t>
      </w:r>
      <w:r>
        <w:rPr>
          <w:b/>
        </w:rPr>
        <w:t>Enron</w:t>
      </w:r>
      <w:r>
        <w:rPr/>
        <w:t>”); and</w:t>
      </w:r>
    </w:p>
    <w:p>
      <w:pPr>
        <w:pStyle w:val="Parties"/>
        <w:numPr>
          <w:ilvl w:val="0"/>
          <w:numId w:val="9"/>
        </w:numPr>
        <w:ind w:hanging="0" w:start="0"/>
        <w:rPr/>
      </w:pPr>
      <w:r>
        <w:rPr>
          <w:b/>
        </w:rPr>
        <w:t>[                                      ]</w:t>
      </w:r>
      <w:r>
        <w:rPr/>
        <w:t>, (“</w:t>
      </w:r>
      <w:r>
        <w:rPr>
          <w:b/>
          <w:bCs/>
        </w:rPr>
        <w:t>Counterparty</w:t>
      </w:r>
      <w:r>
        <w:rPr/>
        <w:t>”).</w:t>
      </w:r>
    </w:p>
    <w:p>
      <w:pPr>
        <w:pStyle w:val="Body"/>
        <w:rPr>
          <w:b/>
        </w:rPr>
      </w:pPr>
      <w:r>
        <w:rPr>
          <w:b/>
        </w:rPr>
        <w:t>Whereas</w:t>
      </w:r>
      <w:r>
        <w:rPr/>
        <w:t>:</w:t>
      </w:r>
    </w:p>
    <w:p>
      <w:pPr>
        <w:pStyle w:val="Recitals"/>
        <w:numPr>
          <w:ilvl w:val="0"/>
          <w:numId w:val="0"/>
        </w:numPr>
        <w:ind w:hanging="0" w:start="0"/>
        <w:rPr/>
      </w:pPr>
      <w:r>
        <w:rPr/>
        <w:t xml:space="preserve">Enron and Counterparty anticipate entering into Back-to-Back Transactions the purpose of which is to replicate each Customer Transaction (save for provisions relating to margin, collateral or credit support) and, thereby, to transfer the whole of the market risk relating to Customer Transactions to Counterparty. </w:t>
      </w:r>
    </w:p>
    <w:p>
      <w:pPr>
        <w:pStyle w:val="Body"/>
        <w:rPr>
          <w:b/>
        </w:rPr>
      </w:pPr>
      <w:r>
        <w:rPr>
          <w:b/>
        </w:rPr>
        <w:t>In consideration of the foregoing and for other good and valuable consideration, Enron and Counterparty agree as follows:</w:t>
      </w:r>
    </w:p>
    <w:p>
      <w:pPr>
        <w:pStyle w:val="Level1"/>
        <w:numPr>
          <w:ilvl w:val="0"/>
          <w:numId w:val="14"/>
        </w:numPr>
        <w:ind w:hanging="0" w:start="0"/>
        <w:rPr/>
      </w:pPr>
      <w:r>
        <w:rPr/>
        <w:t>Interpretation</w:t>
      </w:r>
    </w:p>
    <w:p>
      <w:pPr>
        <w:pStyle w:val="Body1"/>
        <w:rPr/>
      </w:pPr>
      <w:r>
        <w:rPr/>
        <w:t>In this Agreement, including the Schedules, the headings shall not affect its interpretation and, unless the context otherwise requires:</w:t>
      </w:r>
    </w:p>
    <w:p>
      <w:pPr>
        <w:pStyle w:val="Body1"/>
        <w:rPr/>
      </w:pPr>
      <w:r>
        <w:rPr>
          <w:b/>
        </w:rPr>
        <w:t>Applicable Law</w:t>
      </w:r>
      <w:r>
        <w:rPr/>
        <w:t xml:space="preserve"> means in relation to any Party, all laws and regulations that are applicable to that Party, including, without limitation, any regulations, requirements, stipulations or conditions made by any professional or regulatory organisation or association of which the Party is from time to time a member or to which the Party is subject from time to time;</w:t>
      </w:r>
    </w:p>
    <w:p>
      <w:pPr>
        <w:pStyle w:val="Body1"/>
        <w:rPr/>
      </w:pPr>
      <w:r>
        <w:rPr>
          <w:b/>
        </w:rPr>
        <w:t>Affiliates</w:t>
      </w:r>
      <w:r>
        <w:rPr/>
        <w:t xml:space="preserve"> means in relation to either Party, any entity controlled directly or indirectly by the Party, any entity that controls directly or indirectly the Party or any entity directly or indirectly under common control with the Party. For this purpose “control” of any entity or Party means ownership of a majority of the voting power of the entity or Party;</w:t>
      </w:r>
    </w:p>
    <w:p>
      <w:pPr>
        <w:pStyle w:val="Body1"/>
        <w:rPr/>
      </w:pPr>
      <w:r>
        <w:rPr>
          <w:b/>
        </w:rPr>
        <w:t>Back-to-Back Transaction</w:t>
      </w:r>
      <w:r>
        <w:rPr/>
        <w:t xml:space="preserve"> means, in respect of each Customer Transaction a transaction entered into between Enron and Counterparty which is on the same terms as that Customer Transaction, except insofar as is necessary to reflect (i) the fact that the identity of the parties to it are different and Enron shall take the place of the relevant Counterparty and Counterparty shall take the place of Enron, (ii) the exclusion of any terms relating to the calculation and/or payment or delivery of margin, collateral or credit support (however described) and (iii) the accounts to which payments and deliveries are to be made;</w:t>
      </w:r>
    </w:p>
    <w:p>
      <w:pPr>
        <w:pStyle w:val="Body1"/>
        <w:rPr/>
      </w:pPr>
      <w:r>
        <w:rPr>
          <w:b/>
        </w:rPr>
        <w:t>Business Day</w:t>
      </w:r>
      <w:r>
        <w:rPr/>
        <w:t xml:space="preserve"> means a day (other than Saturday or Sunday) on which banks are generally open for business in New York, Chicago and Houston;</w:t>
      </w:r>
    </w:p>
    <w:p>
      <w:pPr>
        <w:pStyle w:val="Body1"/>
        <w:rPr/>
      </w:pPr>
      <w:r>
        <w:rPr>
          <w:b/>
        </w:rPr>
        <w:t>Change to Services</w:t>
      </w:r>
      <w:r>
        <w:rPr/>
        <w:t xml:space="preserve"> means the process for management of changes to the Services set out in Clause 3.5;</w:t>
      </w:r>
    </w:p>
    <w:p>
      <w:pPr>
        <w:pStyle w:val="Body1"/>
        <w:rPr/>
      </w:pPr>
      <w:r>
        <w:rPr>
          <w:b/>
        </w:rPr>
        <w:t>Customer</w:t>
      </w:r>
      <w:r>
        <w:rPr/>
        <w:t xml:space="preserve"> means any entity that has entered into a Customer Transaction;</w:t>
      </w:r>
    </w:p>
    <w:p>
      <w:pPr>
        <w:pStyle w:val="Body1"/>
        <w:rPr/>
      </w:pPr>
      <w:r>
        <w:rPr>
          <w:b/>
        </w:rPr>
        <w:t>Customer Transaction</w:t>
      </w:r>
      <w:r>
        <w:rPr/>
        <w:t xml:space="preserve"> means any transaction entered into between Enron and a Customer which (a) Enron’s records indicate it originated as an EnronOnline product, and (b) remains to be performed by either or any party to it (in whole or in part);</w:t>
      </w:r>
    </w:p>
    <w:p>
      <w:pPr>
        <w:pStyle w:val="Body1"/>
        <w:rPr/>
      </w:pPr>
      <w:r>
        <w:rPr>
          <w:b/>
        </w:rPr>
        <w:t>Defaulting Party</w:t>
      </w:r>
      <w:r>
        <w:rPr/>
        <w:t xml:space="preserve"> has the meaning given to it in Clause [12] of this Agreement;</w:t>
      </w:r>
      <w:r>
        <w:rPr>
          <w:b/>
        </w:rPr>
        <w:t xml:space="preserve"> </w:t>
      </w:r>
    </w:p>
    <w:p>
      <w:pPr>
        <w:pStyle w:val="Body1"/>
        <w:rPr/>
      </w:pPr>
      <w:r>
        <w:rPr>
          <w:b/>
        </w:rPr>
        <w:t>Default Notifying Party</w:t>
      </w:r>
      <w:r>
        <w:rPr/>
        <w:t xml:space="preserve"> has the meaning specified in Clause [12] of this Agreement;</w:t>
      </w:r>
      <w:r>
        <w:rPr>
          <w:b/>
        </w:rPr>
        <w:t xml:space="preserve"> </w:t>
      </w:r>
    </w:p>
    <w:p>
      <w:pPr>
        <w:pStyle w:val="Body1"/>
        <w:rPr/>
      </w:pPr>
      <w:r>
        <w:rPr>
          <w:b/>
        </w:rPr>
        <w:t>Default Termination</w:t>
      </w:r>
      <w:r>
        <w:rPr/>
        <w:t xml:space="preserve"> </w:t>
      </w:r>
      <w:r>
        <w:rPr>
          <w:b/>
        </w:rPr>
        <w:t>Notice</w:t>
      </w:r>
      <w:r>
        <w:rPr/>
        <w:t xml:space="preserve"> has the meaning specified in Clause [12] of this Agreement;</w:t>
      </w:r>
    </w:p>
    <w:p>
      <w:pPr>
        <w:pStyle w:val="Body1"/>
        <w:rPr/>
      </w:pPr>
      <w:r>
        <w:rPr>
          <w:b/>
        </w:rPr>
        <w:t>Fees</w:t>
      </w:r>
      <w:r>
        <w:rPr/>
        <w:t xml:space="preserve"> has the meaning defined in Clause 4 of this Agreement;</w:t>
      </w:r>
    </w:p>
    <w:p>
      <w:pPr>
        <w:pStyle w:val="Body1"/>
        <w:rPr/>
      </w:pPr>
      <w:r>
        <w:rPr>
          <w:b/>
        </w:rPr>
        <w:t>Last Settlement Date</w:t>
      </w:r>
      <w:r>
        <w:rPr/>
        <w:t xml:space="preserve"> has the meaning defined in Clause 12.3 of this Agreement;</w:t>
      </w:r>
    </w:p>
    <w:p>
      <w:pPr>
        <w:pStyle w:val="Body1"/>
        <w:rPr/>
      </w:pPr>
      <w:r>
        <w:rPr>
          <w:b/>
        </w:rPr>
        <w:t>Losses</w:t>
      </w:r>
      <w:r>
        <w:rPr/>
        <w:t xml:space="preserve"> means all losses, liabilities, costs (including, without limitation, reasonable legal costs), charges, expenses, actions, proceedings, claims and demands;</w:t>
      </w:r>
    </w:p>
    <w:p>
      <w:pPr>
        <w:pStyle w:val="Body1"/>
        <w:rPr/>
      </w:pPr>
      <w:r>
        <w:rPr>
          <w:b/>
        </w:rPr>
        <w:t>Non-Defaulting Party</w:t>
      </w:r>
      <w:r>
        <w:rPr/>
        <w:t xml:space="preserve"> has the meaning given to it in Clause [12] of this Agreement;</w:t>
      </w:r>
    </w:p>
    <w:p>
      <w:pPr>
        <w:pStyle w:val="Body1"/>
        <w:rPr/>
      </w:pPr>
      <w:r>
        <w:rPr>
          <w:b/>
        </w:rPr>
        <w:t>Parties</w:t>
      </w:r>
      <w:r>
        <w:rPr/>
        <w:t xml:space="preserve"> means Enron and Counterparty; and</w:t>
      </w:r>
    </w:p>
    <w:p>
      <w:pPr>
        <w:pStyle w:val="Body1"/>
        <w:rPr/>
      </w:pPr>
      <w:r>
        <w:rPr>
          <w:b/>
        </w:rPr>
        <w:t>Services</w:t>
      </w:r>
      <w:r>
        <w:rPr/>
        <w:t xml:space="preserve"> means the services described in the Schedule.</w:t>
      </w:r>
    </w:p>
    <w:p>
      <w:pPr>
        <w:pStyle w:val="Level1"/>
        <w:numPr>
          <w:ilvl w:val="0"/>
          <w:numId w:val="14"/>
        </w:numPr>
        <w:ind w:hanging="0" w:start="0"/>
        <w:rPr/>
      </w:pPr>
      <w:r>
        <w:rPr/>
        <w:t>Back-to-Back Transactions</w:t>
      </w:r>
    </w:p>
    <w:p>
      <w:pPr>
        <w:pStyle w:val="Body2"/>
        <w:rPr/>
      </w:pPr>
      <w:r>
        <w:rPr/>
        <w:t>Each Back-to-Back Transaction shall be automatically entered into between Enron and Counterparty as of the time at which the corresponding Customer Transaction is entered into between Enron and a Customer.  Enron shall promptly send Counterparty copies (whether held in writing, electronically or otherwise) of the documentation constituting such Customer Transaction.</w:t>
      </w:r>
    </w:p>
    <w:p>
      <w:pPr>
        <w:pStyle w:val="Level1"/>
        <w:numPr>
          <w:ilvl w:val="0"/>
          <w:numId w:val="14"/>
        </w:numPr>
        <w:ind w:hanging="0" w:start="0"/>
        <w:rPr/>
      </w:pPr>
      <w:r>
        <w:rPr/>
        <w:t>Functions to be carried out by the Parties</w:t>
      </w:r>
    </w:p>
    <w:p>
      <w:pPr>
        <w:pStyle w:val="Level2"/>
        <w:numPr>
          <w:ilvl w:val="1"/>
          <w:numId w:val="14"/>
        </w:numPr>
        <w:ind w:hanging="0" w:start="0"/>
        <w:rPr/>
      </w:pPr>
      <w:r>
        <w:rPr/>
        <w:t>Services</w:t>
      </w:r>
    </w:p>
    <w:p>
      <w:pPr>
        <w:pStyle w:val="alpha2"/>
        <w:numPr>
          <w:ilvl w:val="0"/>
          <w:numId w:val="2"/>
        </w:numPr>
        <w:ind w:hanging="0" w:start="0"/>
        <w:rPr/>
      </w:pPr>
      <w:r>
        <w:rPr/>
        <w:t>Counterparty shall, during the term of this Agreement, provide the Services to Enron upon and subject to the provisions of this Agreement. Where the provision of the Services requires changes such changes shall be governed by Change to Services.</w:t>
      </w:r>
    </w:p>
    <w:p>
      <w:pPr>
        <w:pStyle w:val="alpha2"/>
        <w:numPr>
          <w:ilvl w:val="0"/>
          <w:numId w:val="2"/>
        </w:numPr>
        <w:ind w:hanging="0" w:start="0"/>
        <w:rPr/>
      </w:pPr>
      <w:r>
        <w:rPr/>
        <w:t>Counterparty shall obtain and maintain in force all memberships, licences, approvals or qualifications it requires to perform its functions under this Agreement and shall comply with all Applicable Law.</w:t>
      </w:r>
    </w:p>
    <w:p>
      <w:pPr>
        <w:pStyle w:val="alpha2"/>
        <w:numPr>
          <w:ilvl w:val="0"/>
          <w:numId w:val="2"/>
        </w:numPr>
        <w:ind w:hanging="0" w:start="0"/>
        <w:rPr/>
      </w:pPr>
      <w:r>
        <w:rPr/>
        <w:t>Counterparty will perform its functions under this Agreement in such a way that it does not cause Enron to breach any Applicable Law.</w:t>
      </w:r>
    </w:p>
    <w:p>
      <w:pPr>
        <w:pStyle w:val="Level2"/>
        <w:numPr>
          <w:ilvl w:val="1"/>
          <w:numId w:val="14"/>
        </w:numPr>
        <w:ind w:hanging="0" w:start="0"/>
        <w:rPr/>
      </w:pPr>
      <w:r>
        <w:rPr/>
        <w:t>Addition</w:t>
      </w:r>
      <w:r>
        <w:rPr>
          <w:sz w:val="22"/>
        </w:rPr>
        <w:t>a</w:t>
      </w:r>
      <w:r>
        <w:rPr/>
        <w:t>l Services</w:t>
      </w:r>
    </w:p>
    <w:p>
      <w:pPr>
        <w:pStyle w:val="Body2"/>
        <w:rPr/>
      </w:pPr>
      <w:r>
        <w:rPr/>
        <w:t>Counterparty will provide such Additional Services as it agrees with Enron from time to time (such agreement not to be unreasonably withheld or delayed). The Schedule shall be signed on behalf of Counterparty and Enron and thereupon shall be deemed to be appended hereto and shall henceforth be included in the Services. The provisions of this Agreement shall apply to the provision of all such Additional Services in the same way as they apply to the other Services.</w:t>
      </w:r>
    </w:p>
    <w:p>
      <w:pPr>
        <w:pStyle w:val="Level2"/>
        <w:numPr>
          <w:ilvl w:val="1"/>
          <w:numId w:val="14"/>
        </w:numPr>
        <w:ind w:hanging="0" w:start="0"/>
        <w:rPr/>
      </w:pPr>
      <w:r>
        <w:rPr/>
        <w:t>Enron obligations</w:t>
      </w:r>
    </w:p>
    <w:p>
      <w:pPr>
        <w:pStyle w:val="Body2"/>
        <w:rPr/>
      </w:pPr>
      <w:r>
        <w:rPr/>
        <w:t>Enron agrees:</w:t>
      </w:r>
    </w:p>
    <w:p>
      <w:pPr>
        <w:pStyle w:val="alpha2"/>
        <w:numPr>
          <w:ilvl w:val="0"/>
          <w:numId w:val="27"/>
        </w:numPr>
        <w:ind w:hanging="0" w:start="0"/>
        <w:rPr/>
      </w:pPr>
      <w:r>
        <w:rPr/>
        <w:t>to provide Counterparty as soon as reasonably practicable with all records and other information which Counterparty may from time to time reasonably request to enable it to perform its obligations hereunder;</w:t>
      </w:r>
    </w:p>
    <w:p>
      <w:pPr>
        <w:pStyle w:val="alpha2"/>
        <w:numPr>
          <w:ilvl w:val="0"/>
          <w:numId w:val="2"/>
        </w:numPr>
        <w:ind w:hanging="0" w:start="0"/>
        <w:rPr/>
      </w:pPr>
      <w:r>
        <w:rPr/>
        <w:t>to obtain and maintain in force all memberships, licences, approvals or qualifications required by any Applicable Law in relation to the activities which Enron undertakes in relation to the Customer Transactions;</w:t>
      </w:r>
    </w:p>
    <w:p>
      <w:pPr>
        <w:pStyle w:val="Level2"/>
        <w:numPr>
          <w:ilvl w:val="1"/>
          <w:numId w:val="14"/>
        </w:numPr>
        <w:ind w:hanging="0" w:start="0"/>
        <w:rPr/>
      </w:pPr>
      <w:r>
        <w:rPr/>
        <w:t>Duties of Counterparty</w:t>
      </w:r>
    </w:p>
    <w:p>
      <w:pPr>
        <w:pStyle w:val="Body2"/>
        <w:rPr/>
      </w:pPr>
      <w:r>
        <w:rPr/>
        <w:t>Counterparty shall perform its obligations under this Agreement with all reasonable care, skill and diligence and shall deploy such suitably qualified personnel and other resources as may be necessary for the efficient and timely performance of the Services.</w:t>
      </w:r>
    </w:p>
    <w:p>
      <w:pPr>
        <w:pStyle w:val="Level2"/>
        <w:numPr>
          <w:ilvl w:val="1"/>
          <w:numId w:val="14"/>
        </w:numPr>
        <w:ind w:hanging="0" w:start="0"/>
        <w:rPr/>
      </w:pPr>
      <w:r>
        <w:rPr/>
        <w:t>Change to Services</w:t>
      </w:r>
    </w:p>
    <w:p>
      <w:pPr>
        <w:pStyle w:val="alpha2"/>
        <w:numPr>
          <w:ilvl w:val="0"/>
          <w:numId w:val="28"/>
        </w:numPr>
        <w:ind w:hanging="0" w:start="0"/>
        <w:rPr/>
      </w:pPr>
      <w:r>
        <w:rPr/>
        <w:t>Enron may at any time request changes in the Services.</w:t>
      </w:r>
    </w:p>
    <w:p>
      <w:pPr>
        <w:pStyle w:val="alpha2"/>
        <w:numPr>
          <w:ilvl w:val="0"/>
          <w:numId w:val="2"/>
        </w:numPr>
        <w:ind w:hanging="0" w:start="0"/>
        <w:rPr/>
      </w:pPr>
      <w:r>
        <w:rPr/>
        <w:t>Counterparty will not be obliged to agree to any requested change but will not unreasonably withhold its agreement to such request.</w:t>
      </w:r>
    </w:p>
    <w:p>
      <w:pPr>
        <w:pStyle w:val="alpha2"/>
        <w:numPr>
          <w:ilvl w:val="0"/>
          <w:numId w:val="2"/>
        </w:numPr>
        <w:ind w:hanging="0" w:start="0"/>
        <w:rPr/>
      </w:pPr>
      <w:r>
        <w:rPr/>
        <w:t>Counterparty will respond in writing to or will meet to discuss any requested changes as soon as practicable and in any event within five Business Days following receipt of the request.</w:t>
      </w:r>
    </w:p>
    <w:p>
      <w:pPr>
        <w:pStyle w:val="alpha2"/>
        <w:numPr>
          <w:ilvl w:val="0"/>
          <w:numId w:val="2"/>
        </w:numPr>
        <w:ind w:hanging="0" w:start="0"/>
        <w:rPr/>
      </w:pPr>
      <w:r>
        <w:rPr/>
        <w:t>Until such time as any change is formally agreed Counterparty will, unless otherwise agreed, continue to provide the Services as if such change had not been requested.</w:t>
      </w:r>
    </w:p>
    <w:p>
      <w:pPr>
        <w:pStyle w:val="alpha2"/>
        <w:numPr>
          <w:ilvl w:val="0"/>
          <w:numId w:val="2"/>
        </w:numPr>
        <w:ind w:hanging="0" w:start="0"/>
        <w:rPr/>
      </w:pPr>
      <w:r>
        <w:rPr/>
        <w:t>Any agreement to a requested change will become valid as an amendment to this Agreement only when confirmed in writing.</w:t>
      </w:r>
    </w:p>
    <w:p>
      <w:pPr>
        <w:pStyle w:val="Level2"/>
        <w:numPr>
          <w:ilvl w:val="1"/>
          <w:numId w:val="14"/>
        </w:numPr>
        <w:ind w:hanging="0" w:start="0"/>
        <w:rPr/>
      </w:pPr>
      <w:r>
        <w:rPr/>
        <w:t>Access to Records</w:t>
      </w:r>
    </w:p>
    <w:p>
      <w:pPr>
        <w:pStyle w:val="alpha2"/>
        <w:numPr>
          <w:ilvl w:val="0"/>
          <w:numId w:val="29"/>
        </w:numPr>
        <w:ind w:hanging="0" w:start="0"/>
        <w:rPr/>
      </w:pPr>
      <w:r>
        <w:rPr/>
        <w:t xml:space="preserve">All records maintained by Counterparty pursuant to the performance of the Services (including data stored on computer tapes or disks pursuant to this Agreement and all other accounts, books, vouchers, correspondence, papers, internal audit files and other material supplied by, prepared for or belonging to Enron) shall remain the property of Enron. On the termination of this Agreement for any reason, Counterparty shall return all such property to Enron. </w:t>
      </w:r>
    </w:p>
    <w:p>
      <w:pPr>
        <w:pStyle w:val="alpha2"/>
        <w:numPr>
          <w:ilvl w:val="0"/>
          <w:numId w:val="2"/>
        </w:numPr>
        <w:ind w:hanging="0" w:start="0"/>
        <w:rPr/>
      </w:pPr>
      <w:r>
        <w:rPr/>
        <w:t>Enron may appoint its servants or agents, and may permit anyone pursuant to any Applicable Law to inspect, examine and verify at the offices of Counterparty all accounts, books, vouchers, correspondence, papers and other material relating to any of the Services that are to be performed by Counterparty under this Agreement, the application of any money belonging to Enron that is paid, received or delivered by Counterparty pursuant to this Agreement and the operation of bank accounts of Enron by Counterparty pursuant to this Agreement. Counterparty shall, whenever required on reasonable notice, give such persons access to its offices for such purposes during Counterparty’s normal business hours.</w:t>
      </w:r>
    </w:p>
    <w:p>
      <w:pPr>
        <w:pStyle w:val="Body1"/>
        <w:rPr/>
      </w:pPr>
      <w:r>
        <w:rPr/>
        <w:t xml:space="preserve">Counterparty will allow Enron, its directors, employees or agents and any regulatory authority specified by Enron, to carry out audits and other inspections of the performance of the Services, at such intervals as may reasonably be required by Enron from time to time </w:t>
      </w:r>
    </w:p>
    <w:p>
      <w:pPr>
        <w:pStyle w:val="Level2"/>
        <w:numPr>
          <w:ilvl w:val="1"/>
          <w:numId w:val="14"/>
        </w:numPr>
        <w:ind w:hanging="0" w:start="0"/>
        <w:rPr/>
      </w:pPr>
      <w:r>
        <w:rPr/>
        <w:t>Extracts of management reports</w:t>
      </w:r>
    </w:p>
    <w:p>
      <w:pPr>
        <w:pStyle w:val="Body1"/>
        <w:rPr/>
      </w:pPr>
      <w:r>
        <w:rPr/>
        <w:t>Within two days of receiving from its external auditors the final version of the management report prepared as part of Counterparty’s statutory audit process, Counterparty shall notify Enron if such management report contains any information regarding the Services and shall provide a reasonable summary of such information.</w:t>
      </w:r>
    </w:p>
    <w:p>
      <w:pPr>
        <w:pStyle w:val="Level2"/>
        <w:numPr>
          <w:ilvl w:val="1"/>
          <w:numId w:val="14"/>
        </w:numPr>
        <w:ind w:hanging="0" w:start="0"/>
        <w:rPr/>
      </w:pPr>
      <w:r>
        <w:rPr/>
        <w:t>Contract for services</w:t>
      </w:r>
    </w:p>
    <w:p>
      <w:pPr>
        <w:pStyle w:val="Body1"/>
        <w:rPr/>
      </w:pPr>
      <w:r>
        <w:rPr/>
        <w:t xml:space="preserve">Any employee of Counterparty that is engaged in the carrying out of Services shall not thereby become an employee of Enron. </w:t>
      </w:r>
    </w:p>
    <w:p>
      <w:pPr>
        <w:pStyle w:val="Level2"/>
        <w:numPr>
          <w:ilvl w:val="1"/>
          <w:numId w:val="14"/>
        </w:numPr>
        <w:ind w:hanging="0" w:start="0"/>
        <w:rPr/>
      </w:pPr>
      <w:r>
        <w:rPr/>
        <w:t xml:space="preserve">Communication with Counterparties </w:t>
      </w:r>
    </w:p>
    <w:p>
      <w:pPr>
        <w:pStyle w:val="Body1"/>
        <w:rPr/>
      </w:pPr>
      <w:r>
        <w:rPr/>
        <w:t>To the extent that Counterparty has any contact with a Customer in connection with the carrying out of the Services, Counterparty shall make clear to that Customer the capacity in which it is acting. In carrying out the Services and with any communication with Customers, Counterparty shall comply with any instructions given by Enron with regard to informing the Customer of the capacity in which Counterparty is acting.</w:t>
      </w:r>
    </w:p>
    <w:p>
      <w:pPr>
        <w:pStyle w:val="Level2"/>
        <w:numPr>
          <w:ilvl w:val="1"/>
          <w:numId w:val="14"/>
        </w:numPr>
        <w:ind w:hanging="0" w:start="0"/>
        <w:rPr>
          <w:b w:val="false"/>
        </w:rPr>
      </w:pPr>
      <w:r>
        <w:rPr/>
        <w:t>Authority</w:t>
      </w:r>
    </w:p>
    <w:p>
      <w:pPr>
        <w:pStyle w:val="Body2"/>
        <w:rPr/>
      </w:pPr>
      <w:r>
        <w:rPr/>
        <w:t>Neither Counterparty nor any director, employee or agent shall take any action on behalf of Enron beyond the provisions of this Agreement, including, without limitation, executing any document on behalf of Enron.</w:t>
      </w:r>
    </w:p>
    <w:p>
      <w:pPr>
        <w:pStyle w:val="Level2"/>
        <w:numPr>
          <w:ilvl w:val="1"/>
          <w:numId w:val="14"/>
        </w:numPr>
        <w:ind w:hanging="0" w:start="0"/>
        <w:rPr>
          <w:b w:val="false"/>
        </w:rPr>
      </w:pPr>
      <w:r>
        <w:rPr/>
        <w:t>Complaints</w:t>
      </w:r>
    </w:p>
    <w:p>
      <w:pPr>
        <w:pStyle w:val="Body2"/>
        <w:rPr/>
      </w:pPr>
      <w:r>
        <w:rPr/>
        <w:t>Counterparty shall notify Enron in writing as soon as it becomes aware of any claim against Counterparty or any Affiliate in connection with the Services and Counterparty will also notify Enron of all complaints notified to it concerning the business or operations of Enron or any Affiliate (other than claims from directors, employees or agents of Counterparty) and Counterparty shall co-operate with Enron in dealing with such claims and complaints and shall provide Enron with such information relating to such claims as Enron may reasonably require. In addition, Counterparty shall take or procure to be taken such action as Enron may reasonably request to avoid, dispute, resist, appeal, compromise or defend such claim.</w:t>
      </w:r>
    </w:p>
    <w:p>
      <w:pPr>
        <w:pStyle w:val="Level1"/>
        <w:numPr>
          <w:ilvl w:val="0"/>
          <w:numId w:val="14"/>
        </w:numPr>
        <w:ind w:hanging="0" w:start="0"/>
        <w:rPr/>
      </w:pPr>
      <w:r>
        <w:rPr/>
        <w:t>Fees</w:t>
      </w:r>
    </w:p>
    <w:p>
      <w:pPr>
        <w:pStyle w:val="Body1"/>
        <w:rPr/>
      </w:pPr>
      <w:r>
        <w:rPr/>
        <w:t>Subject to Clause 12, Counterparty shall pay to Enron fees as follows [</w:t>
      </w:r>
      <w:r>
        <w:rPr>
          <w:b/>
        </w:rPr>
        <w:t>Enron to complete</w:t>
      </w:r>
      <w:r>
        <w:rPr/>
        <w:t>].</w:t>
      </w:r>
    </w:p>
    <w:p>
      <w:pPr>
        <w:pStyle w:val="Level1"/>
        <w:numPr>
          <w:ilvl w:val="0"/>
          <w:numId w:val="14"/>
        </w:numPr>
        <w:ind w:hanging="0" w:start="0"/>
        <w:rPr/>
      </w:pPr>
      <w:r>
        <w:rPr/>
        <w:t>Satisfaction of obligations</w:t>
      </w:r>
    </w:p>
    <w:p>
      <w:pPr>
        <w:pStyle w:val="Body1"/>
        <w:rPr/>
      </w:pPr>
      <w:r>
        <w:rPr/>
        <w:t>To the extent that, pursuant to the performance of the Services, Counterparty makes a payment or delivery, as the case may be, to a Customer under a particular Customer Transaction, then such payment or delivery shall be deemed to satisfy Counterparty’s equivalent obligations to Enron under the corresponding Back-to-Back Transaction.  To the extent that, pursuant to the performance of the Services, Counterparty receives a payment or delivery, as the case may be, from a Customer under a particular Customer Transaction, then such payment or delivery shall be deemed to satisfy Enron’s corresponding obligations to Counterparty under the corresponding Back-to-Back Transactions.</w:t>
      </w:r>
    </w:p>
    <w:p>
      <w:pPr>
        <w:pStyle w:val="Level1"/>
        <w:numPr>
          <w:ilvl w:val="0"/>
          <w:numId w:val="14"/>
        </w:numPr>
        <w:ind w:hanging="0" w:start="0"/>
        <w:rPr/>
      </w:pPr>
      <w:r>
        <w:rPr/>
        <w:t>Representations and warranties</w:t>
      </w:r>
    </w:p>
    <w:p>
      <w:pPr>
        <w:pStyle w:val="Body1"/>
        <w:rPr/>
      </w:pPr>
      <w:r>
        <w:rPr/>
        <w:t>Each Party represents and warrants to the other that:</w:t>
      </w:r>
    </w:p>
    <w:p>
      <w:pPr>
        <w:pStyle w:val="alpha2"/>
        <w:numPr>
          <w:ilvl w:val="0"/>
          <w:numId w:val="30"/>
        </w:numPr>
        <w:ind w:hanging="0" w:start="0"/>
        <w:rPr/>
      </w:pPr>
      <w:r>
        <w:rPr/>
        <w:t>this Agreement has been duly authorised, executed and delivered by it and constitutes valid and legally binding obligations of it;</w:t>
      </w:r>
    </w:p>
    <w:p>
      <w:pPr>
        <w:pStyle w:val="alpha2"/>
        <w:numPr>
          <w:ilvl w:val="0"/>
          <w:numId w:val="2"/>
        </w:numPr>
        <w:ind w:hanging="0" w:start="0"/>
        <w:rPr/>
      </w:pPr>
      <w:r>
        <w:rPr/>
        <w:t>no action or thing is required to be taken, fulfilled or done (including, without limitation, the obtaining of any consent or licence or the making of any filing or registration) for the entry into and performance of this Agreement; and</w:t>
      </w:r>
    </w:p>
    <w:p>
      <w:pPr>
        <w:pStyle w:val="alpha2"/>
        <w:numPr>
          <w:ilvl w:val="0"/>
          <w:numId w:val="2"/>
        </w:numPr>
        <w:ind w:hanging="0" w:start="0"/>
        <w:rPr/>
      </w:pPr>
      <w:r>
        <w:rPr/>
        <w:t>its execution and delivery of, and its performance of its obligations under, this Agreement will not result in a breach of:</w:t>
      </w:r>
    </w:p>
    <w:p>
      <w:pPr>
        <w:pStyle w:val="Level4"/>
        <w:numPr>
          <w:ilvl w:val="3"/>
          <w:numId w:val="14"/>
        </w:numPr>
        <w:ind w:hanging="0" w:start="0"/>
        <w:rPr/>
      </w:pPr>
      <w:r>
        <w:rPr/>
        <w:t xml:space="preserve">any provision of its memorandum or articles of association; or </w:t>
      </w:r>
    </w:p>
    <w:p>
      <w:pPr>
        <w:pStyle w:val="Level4"/>
        <w:numPr>
          <w:ilvl w:val="3"/>
          <w:numId w:val="14"/>
        </w:numPr>
        <w:ind w:hanging="0" w:start="0"/>
        <w:rPr/>
      </w:pPr>
      <w:r>
        <w:rPr/>
        <w:t>any material agreement, licence or other instrument or any order, judgment or decree of any court, governmental agency or regulatory body to which it is a party or by whose rules or requirements it is bound; and</w:t>
      </w:r>
    </w:p>
    <w:p>
      <w:pPr>
        <w:pStyle w:val="alpha2"/>
        <w:numPr>
          <w:ilvl w:val="0"/>
          <w:numId w:val="2"/>
        </w:numPr>
        <w:ind w:hanging="0" w:start="0"/>
        <w:rPr/>
      </w:pPr>
      <w:r>
        <w:rPr/>
        <w:t>none of the events referred to in Clause 12.1 has occurred with respect to it and is continuing.</w:t>
      </w:r>
    </w:p>
    <w:p>
      <w:pPr>
        <w:pStyle w:val="Body2"/>
        <w:rPr/>
      </w:pPr>
      <w:r>
        <w:rPr/>
        <w:t>Counterparty represents and warrants to Enron that it has in place back-up and contingency procedures which are designed to preserve all data held in computerised form and that such procedures comply in all material respects with any applicable regulatory requirements.</w:t>
      </w:r>
    </w:p>
    <w:p>
      <w:pPr>
        <w:pStyle w:val="Level1"/>
        <w:numPr>
          <w:ilvl w:val="0"/>
          <w:numId w:val="14"/>
        </w:numPr>
        <w:ind w:hanging="0" w:start="0"/>
        <w:rPr/>
      </w:pPr>
      <w:r>
        <w:rPr/>
        <w:t xml:space="preserve">Indemnity </w:t>
      </w:r>
    </w:p>
    <w:p>
      <w:pPr>
        <w:pStyle w:val="Body2"/>
        <w:rPr/>
      </w:pPr>
      <w:r>
        <w:rPr/>
        <w:t>Each party shall indemnify the other (on an after tax basis) for:</w:t>
      </w:r>
    </w:p>
    <w:p>
      <w:pPr>
        <w:pStyle w:val="alpha2"/>
        <w:numPr>
          <w:ilvl w:val="0"/>
          <w:numId w:val="31"/>
        </w:numPr>
        <w:ind w:hanging="0" w:start="0"/>
        <w:rPr/>
      </w:pPr>
      <w:r>
        <w:rPr/>
        <w:t xml:space="preserve">any liability which either Party incurs as a result of a breach or an alleged breach of a Back-to-Back Transaction or this Agreement which is caused by a breach by the other Party to this Agreement (including, without limitation, any costs incurred in settling any claim which is made in respect of such breach or alleged breach); and </w:t>
      </w:r>
    </w:p>
    <w:p>
      <w:pPr>
        <w:pStyle w:val="alpha2"/>
        <w:numPr>
          <w:ilvl w:val="0"/>
          <w:numId w:val="2"/>
        </w:numPr>
        <w:ind w:hanging="0" w:start="0"/>
        <w:rPr/>
      </w:pPr>
      <w:r>
        <w:rPr/>
        <w:t>any Losses which either Party reasonably incurs in investigating the validity of, or disputing or defending, any claim which is made in respect of such breach or alleged breach by the other Party.</w:t>
      </w:r>
    </w:p>
    <w:p>
      <w:pPr>
        <w:pStyle w:val="Level1"/>
        <w:numPr>
          <w:ilvl w:val="0"/>
          <w:numId w:val="14"/>
        </w:numPr>
        <w:ind w:hanging="0" w:start="0"/>
        <w:rPr/>
      </w:pPr>
      <w:r>
        <w:rPr/>
        <w:t>Whole Agreement</w:t>
      </w:r>
    </w:p>
    <w:p>
      <w:pPr>
        <w:pStyle w:val="Body1"/>
        <w:rPr/>
      </w:pPr>
      <w:r>
        <w:rPr/>
        <w:t>This Agreement contains the whole agreement between the Parties relating to the subject matter of this Agreement at the date hereof. Each Party acknowledges that it has not been induced to enter into this Agreement by any warranties, representations and undertakings not incorporated into this Agreement, and so far as is permitted by law and except in the case of the fraud of any other Party, hereby waives any remedy in respect of such warranties, representations and undertakings.</w:t>
      </w:r>
    </w:p>
    <w:p>
      <w:pPr>
        <w:pStyle w:val="Level1"/>
        <w:numPr>
          <w:ilvl w:val="0"/>
          <w:numId w:val="14"/>
        </w:numPr>
        <w:ind w:hanging="0" w:start="0"/>
        <w:rPr/>
      </w:pPr>
      <w:r>
        <w:rPr/>
        <w:t>Non-reliance</w:t>
      </w:r>
    </w:p>
    <w:p>
      <w:pPr>
        <w:pStyle w:val="Body1"/>
        <w:rPr/>
      </w:pPr>
      <w:r>
        <w:rPr/>
        <w:t xml:space="preserve">The arrangements between the Parties contemplated by this Agreement are entered into on the basis that each Party has the capability to make, and has made, an independent decision on the risks involved in them, and their appropriateness for it. Each Party represents and warrants to the other Parties that it has taken whatever tax, accounting, regulatory, legal, financial and other advice it considers necessary and will not be relying on the other Parties to assess on its behalf, or to advise it about, the merits or suitability of these arrangements. Therefore, no Party assumes any fiduciary or other responsibility for advising any other Party about its suitability, or the suitability of any particular transaction, or for giving it all the information it may need in order to decide whether to enter into them (except for any responsibility expressly agreed on in writing). </w:t>
      </w:r>
    </w:p>
    <w:p>
      <w:pPr>
        <w:pStyle w:val="Level1"/>
        <w:numPr>
          <w:ilvl w:val="0"/>
          <w:numId w:val="14"/>
        </w:numPr>
        <w:ind w:hanging="0" w:start="0"/>
        <w:rPr/>
      </w:pPr>
      <w:r>
        <w:rPr/>
        <w:t xml:space="preserve">Confidentiality </w:t>
      </w:r>
    </w:p>
    <w:p>
      <w:pPr>
        <w:pStyle w:val="Body2"/>
        <w:rPr/>
      </w:pPr>
      <w:r>
        <w:rPr/>
        <w:t xml:space="preserve">Each of the Parties agrees that any information relating to a Customer Transaction or a Back-to-Back Transaction or the existence of this Agreement and any information obtained pursuant to this Agreement shall be kept confidential and shall not be disclosed by it except to the extent that such disclosure is (a) necessary to enable it to perform its obligations under this Agreement, (b) required by Applicable Law, (c) requested by any regulatory authority to whose rules or requirements it is subject, (d) made to its Affiliates or professional advisers by it, (e) in relation to information which has come into the public domain otherwise than as a result of a breach by it of this Clause [10] [or (f) in relation to the disclosure to a particular Customer to a Customer Transaction of the part of Schedule which relates to that Counterparty]. </w:t>
      </w:r>
    </w:p>
    <w:p>
      <w:pPr>
        <w:pStyle w:val="Level1"/>
        <w:numPr>
          <w:ilvl w:val="0"/>
          <w:numId w:val="14"/>
        </w:numPr>
        <w:ind w:hanging="0" w:start="0"/>
        <w:rPr/>
      </w:pPr>
      <w:r>
        <w:rPr/>
        <w:t xml:space="preserve">Assignment </w:t>
      </w:r>
    </w:p>
    <w:p>
      <w:pPr>
        <w:pStyle w:val="Body1"/>
        <w:rPr/>
      </w:pPr>
      <w:r>
        <w:rPr/>
        <w:t>This Agreement shall be binding on and ensure to the benefit of the Parties and their respective successors and permitted assignees and transferees but no Party may assign, transfer or delegate all or any part of its rights or obligations under this Agreement without the prior written consent of the other Party, except that either Party (the “</w:t>
      </w:r>
      <w:r>
        <w:rPr>
          <w:b/>
        </w:rPr>
        <w:t>Assignor</w:t>
      </w:r>
      <w:r>
        <w:rPr/>
        <w:t>”) may assign, transfer or delegate any of their respective rights and obligations under this Agreement or any Back-to-Back Transaction to any Affiliate provided that such Affiliate undertakes to perform the obligations of the Assignor under this Agreement or, as the case may be, under such Back-to-Back Transaction and the Assignor remains bound by those obligations.</w:t>
      </w:r>
    </w:p>
    <w:p>
      <w:pPr>
        <w:pStyle w:val="Level1"/>
        <w:numPr>
          <w:ilvl w:val="0"/>
          <w:numId w:val="14"/>
        </w:numPr>
        <w:ind w:hanging="0" w:start="0"/>
        <w:rPr/>
      </w:pPr>
      <w:r>
        <w:rPr/>
        <w:t>Termination</w:t>
      </w:r>
    </w:p>
    <w:p>
      <w:pPr>
        <w:pStyle w:val="Level2"/>
        <w:numPr>
          <w:ilvl w:val="1"/>
          <w:numId w:val="14"/>
        </w:numPr>
        <w:ind w:hanging="0" w:start="0"/>
        <w:rPr/>
      </w:pPr>
      <w:r>
        <w:rPr/>
        <w:t>Termination upon default</w:t>
      </w:r>
    </w:p>
    <w:p>
      <w:pPr>
        <w:pStyle w:val="alpha2"/>
        <w:numPr>
          <w:ilvl w:val="0"/>
          <w:numId w:val="32"/>
        </w:numPr>
        <w:ind w:hanging="0" w:start="0"/>
        <w:rPr/>
      </w:pPr>
      <w:r>
        <w:rPr/>
        <w:t>Either Party (the “</w:t>
      </w:r>
      <w:r>
        <w:rPr>
          <w:b/>
        </w:rPr>
        <w:t>Default Notifying Party</w:t>
      </w:r>
      <w:r>
        <w:rPr/>
        <w:t>”) may terminate this Agreement at any time by written notice (the “</w:t>
      </w:r>
      <w:r>
        <w:rPr>
          <w:b/>
        </w:rPr>
        <w:t>Default Termination Notice</w:t>
      </w:r>
      <w:r>
        <w:rPr/>
        <w:t>”) to the other Party if either</w:t>
      </w:r>
    </w:p>
    <w:p>
      <w:pPr>
        <w:pStyle w:val="roman3"/>
        <w:numPr>
          <w:ilvl w:val="0"/>
          <w:numId w:val="4"/>
        </w:numPr>
        <w:ind w:hanging="0" w:start="0"/>
        <w:rPr/>
      </w:pPr>
      <w:r>
        <w:rPr/>
        <w:t>such other Party is in material breach of its obligations under this Agreement and either that breach is incapable of remedy or it shall have failed to remedy that breach to the reasonable satisfaction of the other Party within 30 calendar days after receiving written notice requiring it to remedy that breach; or</w:t>
      </w:r>
    </w:p>
    <w:p>
      <w:pPr>
        <w:pStyle w:val="roman3"/>
        <w:numPr>
          <w:ilvl w:val="0"/>
          <w:numId w:val="4"/>
        </w:numPr>
        <w:ind w:hanging="0" w:start="0"/>
        <w:rPr/>
      </w:pPr>
      <w:r>
        <w:rPr/>
        <w:t>such other Party is a Defaulting Party in accordance with the provisions of any Back-to-Back Transaction.</w:t>
      </w:r>
    </w:p>
    <w:p>
      <w:pPr>
        <w:pStyle w:val="alpha2"/>
        <w:numPr>
          <w:ilvl w:val="0"/>
          <w:numId w:val="2"/>
        </w:numPr>
        <w:ind w:hanging="0" w:start="0"/>
        <w:rPr/>
      </w:pPr>
      <w:r>
        <w:rPr/>
        <w:t>Any Default Termination Notice given under Clause 12.1 shall identify the ground for termination and shall specify a period of not less than two Business Days from the date of the notice at the end of which period this Agreement shall terminate, save where earlier termination is required by any Applicable Law in which case termination shall take place at the earlier time so required.</w:t>
      </w:r>
    </w:p>
    <w:p>
      <w:pPr>
        <w:pStyle w:val="alpha2"/>
        <w:numPr>
          <w:ilvl w:val="0"/>
          <w:numId w:val="2"/>
        </w:numPr>
        <w:ind w:hanging="0" w:start="0"/>
        <w:rPr/>
      </w:pPr>
      <w:r>
        <w:rPr/>
        <w:t>At the election of the Default Notifying Party, as specified by the Default Notifying Party in its Default Termination Notice any or all of, the following shall occur:</w:t>
      </w:r>
    </w:p>
    <w:p>
      <w:pPr>
        <w:pStyle w:val="roman3"/>
        <w:numPr>
          <w:ilvl w:val="0"/>
          <w:numId w:val="33"/>
        </w:numPr>
        <w:ind w:hanging="0" w:start="0"/>
        <w:rPr/>
      </w:pPr>
      <w:r>
        <w:rPr/>
        <w:t>the operation of Clause 2 of this Agreement shall cease;</w:t>
      </w:r>
    </w:p>
    <w:p>
      <w:pPr>
        <w:pStyle w:val="roman3"/>
        <w:numPr>
          <w:ilvl w:val="0"/>
          <w:numId w:val="4"/>
        </w:numPr>
        <w:ind w:hanging="0" w:start="0"/>
        <w:rPr/>
      </w:pPr>
      <w:r>
        <w:rPr/>
        <w:t>any right under Section 7 of the terms of any Back-to-Back Transaction may be exercised by the Default Notifying Party as if the Default Notifying Party were the Non-Defaulting Party (despite any provision to the contrary in those terms);</w:t>
      </w:r>
    </w:p>
    <w:p>
      <w:pPr>
        <w:pStyle w:val="roman3"/>
        <w:numPr>
          <w:ilvl w:val="0"/>
          <w:numId w:val="4"/>
        </w:numPr>
        <w:ind w:hanging="0" w:start="0"/>
        <w:rPr/>
      </w:pPr>
      <w:r>
        <w:rPr/>
        <w:t>any or all of the Back-to-Back Transactions shall be terminated in accordance with Section 7.2(c) of the terms of the relevant Back-to-Back Transaction and the Party other than the Default Notifying Party shall be the Defaulting Party (as defined in the Back-to-Back Transaction); and/or</w:t>
      </w:r>
    </w:p>
    <w:p>
      <w:pPr>
        <w:pStyle w:val="roman3"/>
        <w:numPr>
          <w:ilvl w:val="0"/>
          <w:numId w:val="4"/>
        </w:numPr>
        <w:ind w:hanging="0" w:start="0"/>
        <w:rPr/>
      </w:pPr>
      <w:r>
        <w:rPr/>
        <w:t>the provision of Services by Counterparty to Enron shall cease.</w:t>
      </w:r>
    </w:p>
    <w:p>
      <w:pPr>
        <w:pStyle w:val="Body3"/>
        <w:rPr/>
      </w:pPr>
      <w:r>
        <w:rPr/>
        <w:t>In the case that the Default Notifying Party shall elect for the occurrence of the events in all of paragraphs (i), (iii) and (iv), then any accrued and unpaid fees arising in accordance with Clause [4] of this Agreement shall be paid on the last to occur of these events. Enron may set off those fees against any other amount owing to it.</w:t>
      </w:r>
    </w:p>
    <w:p>
      <w:pPr>
        <w:pStyle w:val="Level5"/>
        <w:numPr>
          <w:ilvl w:val="0"/>
          <w:numId w:val="0"/>
        </w:numPr>
        <w:ind w:hanging="630" w:start="1350" w:end="0"/>
        <w:rPr/>
      </w:pPr>
      <w:r>
        <w:rPr/>
        <w:t>(d)</w:t>
        <w:tab/>
        <w:t>The Party other than the Notifying Party shall indemnify, defend and hold harmless the Notifying Party from and against all costs an expenses incurred by the Notifying Party as a result of a Default and incurred in the exercise of any remedies under a Transaction (including without limitation legal fees and expenses reasonably incurred , court costs, collection costs, interest charges and other disbursements).</w:t>
      </w:r>
    </w:p>
    <w:p>
      <w:pPr>
        <w:pStyle w:val="Level1"/>
        <w:numPr>
          <w:ilvl w:val="0"/>
          <w:numId w:val="14"/>
        </w:numPr>
        <w:ind w:hanging="0" w:start="0"/>
        <w:rPr/>
      </w:pPr>
      <w:r>
        <w:rPr/>
        <w:t>Survivorship</w:t>
      </w:r>
    </w:p>
    <w:p>
      <w:pPr>
        <w:pStyle w:val="Body2"/>
        <w:rPr/>
      </w:pPr>
      <w:r>
        <w:rPr/>
        <w:t xml:space="preserve">All remedies, exclusions of remedies and limitations under this Agreement shall survive termination of this Agreement. </w:t>
      </w:r>
    </w:p>
    <w:p>
      <w:pPr>
        <w:pStyle w:val="Level1"/>
        <w:numPr>
          <w:ilvl w:val="0"/>
          <w:numId w:val="14"/>
        </w:numPr>
        <w:ind w:hanging="0" w:start="0"/>
        <w:rPr/>
      </w:pPr>
      <w:r>
        <w:rPr/>
        <w:t>Time of the essence</w:t>
      </w:r>
    </w:p>
    <w:p>
      <w:pPr>
        <w:pStyle w:val="Body1"/>
        <w:rPr/>
      </w:pPr>
      <w:r>
        <w:rPr/>
        <w:t>Any time, date or period referred to in this Agreement may be extended by mutual agreement between the Parties, but as regards any time, date or period originally fixed or any time, date or period so extended time shall be of the essence.</w:t>
      </w:r>
    </w:p>
    <w:p>
      <w:pPr>
        <w:pStyle w:val="Level1"/>
        <w:numPr>
          <w:ilvl w:val="0"/>
          <w:numId w:val="14"/>
        </w:numPr>
        <w:ind w:hanging="0" w:start="0"/>
        <w:rPr/>
      </w:pPr>
      <w:r>
        <w:rPr/>
        <w:t>No waiver</w:t>
      </w:r>
    </w:p>
    <w:p>
      <w:pPr>
        <w:pStyle w:val="Body1"/>
        <w:rPr/>
      </w:pPr>
      <w:r>
        <w:rPr/>
        <w:t>Except as otherwise provided in this Agreement, no failure or delay to exercise any power, right or remedy under this Agreement shall operate as a waiver thereof, nor shall any single or partial exercise or waiver of any such power, right or remedy preclude its further exercise or the exercise of any other power, right or remedy. Except as otherwise provided in this Agreement, the powers, rights and remedies provided in this Agreement are cumulative and not exclusive of any powers, rights or remedies provided by law.</w:t>
      </w:r>
    </w:p>
    <w:p>
      <w:pPr>
        <w:pStyle w:val="Level1"/>
        <w:numPr>
          <w:ilvl w:val="0"/>
          <w:numId w:val="14"/>
        </w:numPr>
        <w:ind w:hanging="0" w:start="0"/>
        <w:rPr/>
      </w:pPr>
      <w:r>
        <w:rPr/>
        <w:t>No partnership</w:t>
      </w:r>
    </w:p>
    <w:p>
      <w:pPr>
        <w:pStyle w:val="Body1"/>
        <w:rPr/>
      </w:pPr>
      <w:r>
        <w:rPr/>
        <w:t>Nothing in this Agreement shall constitute a partnership between the Parties.</w:t>
      </w:r>
    </w:p>
    <w:p>
      <w:pPr>
        <w:pStyle w:val="Level1"/>
        <w:numPr>
          <w:ilvl w:val="0"/>
          <w:numId w:val="14"/>
        </w:numPr>
        <w:ind w:hanging="0" w:start="0"/>
        <w:rPr/>
      </w:pPr>
      <w:r>
        <w:rPr/>
        <w:t>Notices</w:t>
      </w:r>
    </w:p>
    <w:p>
      <w:pPr>
        <w:pStyle w:val="Level2"/>
        <w:numPr>
          <w:ilvl w:val="1"/>
          <w:numId w:val="14"/>
        </w:numPr>
        <w:ind w:hanging="0" w:start="0"/>
        <w:rPr/>
      </w:pPr>
      <w:r>
        <w:rPr/>
        <w:t>In Writing</w:t>
      </w:r>
    </w:p>
    <w:p>
      <w:pPr>
        <w:pStyle w:val="Body2"/>
        <w:rPr/>
      </w:pPr>
      <w:r>
        <w:rPr/>
        <w:t>Any notice or other communication which is required to be given or served under or in connection with this Agreement shall be in writing and shall be sufficiently given or served if delivered or sent to a Party at its address stated above (or, as the case may be, any other address notified to the Party making the communication, in accordance with this Clause 17) and marked for the attention of the Legal Department.</w:t>
      </w:r>
    </w:p>
    <w:p>
      <w:pPr>
        <w:pStyle w:val="Level2"/>
        <w:numPr>
          <w:ilvl w:val="1"/>
          <w:numId w:val="14"/>
        </w:numPr>
        <w:ind w:hanging="0" w:start="0"/>
        <w:rPr/>
      </w:pPr>
      <w:r>
        <w:rPr/>
        <w:t xml:space="preserve">Delivery </w:t>
      </w:r>
    </w:p>
    <w:p>
      <w:pPr>
        <w:pStyle w:val="Body2"/>
        <w:rPr/>
      </w:pPr>
      <w:r>
        <w:rPr/>
        <w:t>Any such notice or other communication shall be delivered by hand or sent by courier, fax or prepaid first class post. If sent by courier or fax such notice or communication shall conclusively be deemed to have been given or served at the time of despatch. If sent by post such notice or communication shall conclusively be deemed to have been received two Business Days from the time of posting.</w:t>
      </w:r>
    </w:p>
    <w:p>
      <w:pPr>
        <w:pStyle w:val="Level1"/>
        <w:numPr>
          <w:ilvl w:val="0"/>
          <w:numId w:val="14"/>
        </w:numPr>
        <w:ind w:hanging="0" w:start="0"/>
        <w:rPr/>
      </w:pPr>
      <w:r>
        <w:rPr/>
        <w:t>Costs and expenses</w:t>
      </w:r>
    </w:p>
    <w:p>
      <w:pPr>
        <w:pStyle w:val="Body1"/>
        <w:rPr/>
      </w:pPr>
      <w:r>
        <w:rPr/>
        <w:t xml:space="preserve">Each Party shall bear its own costs and expenses in connection with the negotiation, preparation, and entering into this Agreement. </w:t>
      </w:r>
    </w:p>
    <w:p>
      <w:pPr>
        <w:pStyle w:val="Level1"/>
        <w:numPr>
          <w:ilvl w:val="0"/>
          <w:numId w:val="14"/>
        </w:numPr>
        <w:ind w:hanging="677" w:start="677" w:end="0"/>
        <w:rPr/>
      </w:pPr>
      <w:r>
        <w:rPr/>
        <w:t>Counterparts</w:t>
      </w:r>
    </w:p>
    <w:p>
      <w:pPr>
        <w:pStyle w:val="Body1"/>
        <w:rPr/>
      </w:pPr>
      <w:r>
        <w:rPr/>
        <w:t>This Agreement may be executed in any number of counterparts, each of which shall be deemed an original, but all the counterparts shall together constitute one and the same instrument.</w:t>
      </w:r>
    </w:p>
    <w:p>
      <w:pPr>
        <w:pStyle w:val="Level1"/>
        <w:numPr>
          <w:ilvl w:val="0"/>
          <w:numId w:val="14"/>
        </w:numPr>
        <w:ind w:hanging="0" w:start="0"/>
        <w:rPr/>
      </w:pPr>
      <w:r>
        <w:rPr/>
        <w:t>Governing law</w:t>
      </w:r>
    </w:p>
    <w:p>
      <w:pPr>
        <w:pStyle w:val="Body2"/>
        <w:rPr/>
      </w:pPr>
      <w:r>
        <w:rPr/>
        <w:t>This Agreement and the documents to be entered into pursuant to it, shall be governed by and construed in accordance with the law of Texas.</w:t>
      </w:r>
    </w:p>
    <w:p>
      <w:pPr>
        <w:pStyle w:val="Body"/>
        <w:rPr/>
      </w:pPr>
      <w:r>
        <w:rPr>
          <w:b/>
        </w:rPr>
        <w:t>In witness</w:t>
      </w:r>
      <w:r>
        <w:rPr/>
        <w:t xml:space="preserve"> whereof this document has been duly executed as of the date stated at the beginning.</w:t>
      </w:r>
    </w:p>
    <w:p>
      <w:pPr>
        <w:pStyle w:val="Normal"/>
        <w:rPr/>
      </w:pPr>
      <w:r>
        <w:rPr/>
      </w:r>
    </w:p>
    <w:tbl>
      <w:tblPr>
        <w:tblW w:w="9297" w:type="dxa"/>
        <w:jc w:val="start"/>
        <w:tblInd w:w="0" w:type="dxa"/>
        <w:tblLayout w:type="fixed"/>
        <w:tblCellMar>
          <w:top w:w="0" w:type="dxa"/>
          <w:start w:w="108" w:type="dxa"/>
          <w:bottom w:w="0" w:type="dxa"/>
          <w:end w:w="108" w:type="dxa"/>
        </w:tblCellMar>
      </w:tblPr>
      <w:tblGrid>
        <w:gridCol w:w="4968"/>
        <w:gridCol w:w="1230"/>
        <w:gridCol w:w="3099"/>
      </w:tblGrid>
      <w:tr>
        <w:trPr/>
        <w:tc>
          <w:tcPr>
            <w:tcW w:w="4968" w:type="dxa"/>
            <w:tcBorders/>
          </w:tcPr>
          <w:p>
            <w:pPr>
              <w:pStyle w:val="CellBody"/>
              <w:spacing w:before="0" w:after="0"/>
              <w:rPr/>
            </w:pPr>
            <w:r>
              <w:rPr>
                <w:b/>
              </w:rPr>
              <w:t>ENRON NORTH AMERICA CORP.</w:t>
            </w:r>
            <w:r>
              <w:rPr/>
              <w:br/>
            </w:r>
          </w:p>
          <w:p>
            <w:pPr>
              <w:pStyle w:val="CellBody"/>
              <w:spacing w:before="0" w:after="0"/>
              <w:rPr/>
            </w:pPr>
            <w:r>
              <w:rPr/>
              <w:t>By:</w:t>
            </w:r>
          </w:p>
          <w:p>
            <w:pPr>
              <w:pStyle w:val="CellBody"/>
              <w:spacing w:before="0" w:after="0"/>
              <w:rPr/>
            </w:pPr>
            <w:r>
              <w:rPr/>
            </w:r>
          </w:p>
        </w:tc>
        <w:tc>
          <w:tcPr>
            <w:tcW w:w="1230" w:type="dxa"/>
            <w:tcBorders/>
          </w:tcPr>
          <w:p>
            <w:pPr>
              <w:pStyle w:val="CellBody"/>
              <w:snapToGrid w:val="false"/>
              <w:spacing w:before="0" w:after="0"/>
              <w:rPr/>
            </w:pPr>
            <w:r>
              <w:rPr/>
            </w:r>
          </w:p>
        </w:tc>
        <w:tc>
          <w:tcPr>
            <w:tcW w:w="3099" w:type="dxa"/>
            <w:tcBorders/>
          </w:tcPr>
          <w:p>
            <w:pPr>
              <w:pStyle w:val="CellBody"/>
              <w:snapToGrid w:val="false"/>
              <w:spacing w:before="0" w:after="0"/>
              <w:rPr/>
            </w:pPr>
            <w:r>
              <w:rPr/>
            </w:r>
          </w:p>
          <w:p>
            <w:pPr>
              <w:pStyle w:val="CellBody"/>
              <w:spacing w:before="0" w:after="0"/>
              <w:rPr/>
            </w:pPr>
            <w:r>
              <w:rPr/>
            </w:r>
          </w:p>
        </w:tc>
      </w:tr>
    </w:tbl>
    <w:p>
      <w:pPr>
        <w:pStyle w:val="Normal"/>
        <w:rPr/>
      </w:pPr>
      <w:r>
        <w:rPr/>
      </w:r>
    </w:p>
    <w:tbl>
      <w:tblPr>
        <w:tblW w:w="9297" w:type="dxa"/>
        <w:jc w:val="start"/>
        <w:tblInd w:w="0" w:type="dxa"/>
        <w:tblLayout w:type="fixed"/>
        <w:tblCellMar>
          <w:top w:w="0" w:type="dxa"/>
          <w:start w:w="108" w:type="dxa"/>
          <w:bottom w:w="0" w:type="dxa"/>
          <w:end w:w="108" w:type="dxa"/>
        </w:tblCellMar>
      </w:tblPr>
      <w:tblGrid>
        <w:gridCol w:w="4968"/>
        <w:gridCol w:w="1230"/>
        <w:gridCol w:w="3099"/>
      </w:tblGrid>
      <w:tr>
        <w:trPr/>
        <w:tc>
          <w:tcPr>
            <w:tcW w:w="4968" w:type="dxa"/>
            <w:tcBorders/>
          </w:tcPr>
          <w:p>
            <w:pPr>
              <w:pStyle w:val="CellBody"/>
              <w:spacing w:before="0" w:after="0"/>
              <w:rPr>
                <w:b/>
              </w:rPr>
            </w:pPr>
            <w:r>
              <w:rPr>
                <w:b/>
              </w:rPr>
              <w:t>[Counterparty]</w:t>
            </w:r>
          </w:p>
          <w:p>
            <w:pPr>
              <w:pStyle w:val="CellBody"/>
              <w:spacing w:before="0" w:after="0"/>
              <w:rPr>
                <w:b/>
              </w:rPr>
            </w:pPr>
            <w:r>
              <w:rPr>
                <w:b/>
              </w:rPr>
            </w:r>
          </w:p>
          <w:p>
            <w:pPr>
              <w:pStyle w:val="CellBody"/>
              <w:spacing w:before="0" w:after="0"/>
              <w:rPr/>
            </w:pPr>
            <w:r>
              <w:rPr/>
              <w:t>By:</w:t>
            </w:r>
          </w:p>
          <w:p>
            <w:pPr>
              <w:pStyle w:val="CellBody"/>
              <w:spacing w:before="0" w:after="0"/>
              <w:rPr>
                <w:b/>
              </w:rPr>
            </w:pPr>
            <w:r>
              <w:rPr>
                <w:b/>
              </w:rPr>
            </w:r>
          </w:p>
        </w:tc>
        <w:tc>
          <w:tcPr>
            <w:tcW w:w="1230" w:type="dxa"/>
            <w:tcBorders/>
          </w:tcPr>
          <w:p>
            <w:pPr>
              <w:pStyle w:val="CellBody"/>
              <w:snapToGrid w:val="false"/>
              <w:spacing w:before="0" w:after="0"/>
              <w:rPr>
                <w:b/>
              </w:rPr>
            </w:pPr>
            <w:r>
              <w:rPr>
                <w:b/>
              </w:rPr>
            </w:r>
          </w:p>
        </w:tc>
        <w:tc>
          <w:tcPr>
            <w:tcW w:w="3099" w:type="dxa"/>
            <w:tcBorders/>
          </w:tcPr>
          <w:p>
            <w:pPr>
              <w:pStyle w:val="CellBody"/>
              <w:snapToGrid w:val="false"/>
              <w:spacing w:before="0" w:after="0"/>
              <w:rPr>
                <w:b/>
              </w:rPr>
            </w:pPr>
            <w:r>
              <w:rPr>
                <w:b/>
              </w:rPr>
            </w:r>
          </w:p>
        </w:tc>
      </w:tr>
      <w:tr>
        <w:trPr>
          <w:trHeight w:val="240" w:hRule="exact"/>
        </w:trPr>
        <w:tc>
          <w:tcPr>
            <w:tcW w:w="4968" w:type="dxa"/>
            <w:tcBorders/>
          </w:tcPr>
          <w:p>
            <w:pPr>
              <w:pStyle w:val="CellBody"/>
              <w:snapToGrid w:val="false"/>
              <w:spacing w:before="140" w:after="60"/>
              <w:rPr>
                <w:b/>
              </w:rPr>
            </w:pPr>
            <w:r>
              <w:rPr>
                <w:b/>
              </w:rPr>
            </w:r>
          </w:p>
        </w:tc>
        <w:tc>
          <w:tcPr>
            <w:tcW w:w="1230" w:type="dxa"/>
            <w:tcBorders/>
          </w:tcPr>
          <w:p>
            <w:pPr>
              <w:pStyle w:val="CellBody"/>
              <w:snapToGrid w:val="false"/>
              <w:spacing w:before="140" w:after="60"/>
              <w:rPr/>
            </w:pPr>
            <w:r>
              <w:rPr/>
            </w:r>
          </w:p>
        </w:tc>
        <w:tc>
          <w:tcPr>
            <w:tcW w:w="3099" w:type="dxa"/>
            <w:tcBorders/>
          </w:tcPr>
          <w:p>
            <w:pPr>
              <w:pStyle w:val="CellBody"/>
              <w:snapToGrid w:val="false"/>
              <w:spacing w:before="140" w:after="60"/>
              <w:rPr/>
            </w:pPr>
            <w:r>
              <w:rPr/>
            </w:r>
          </w:p>
        </w:tc>
      </w:tr>
    </w:tbl>
    <w:p>
      <w:pPr>
        <w:sectPr>
          <w:footerReference w:type="default" r:id="rId2"/>
          <w:type w:val="nextPage"/>
          <w:pgSz w:w="11906" w:h="16838"/>
          <w:pgMar w:left="1411" w:right="1152" w:gutter="0" w:header="0" w:top="1699" w:footer="461" w:bottom="1699"/>
          <w:pgNumType w:start="1" w:fmt="decimal"/>
          <w:formProt w:val="false"/>
          <w:textDirection w:val="lrTb"/>
          <w:docGrid w:type="default" w:linePitch="360" w:charSpace="0"/>
        </w:sectPr>
      </w:pPr>
    </w:p>
    <w:p>
      <w:pPr>
        <w:pStyle w:val="SchedApps"/>
        <w:rPr/>
      </w:pPr>
      <w:r>
        <w:rPr/>
        <w:t>Schedule [TO BE COMPLETED BY ENRON]</w:t>
      </w:r>
    </w:p>
    <w:p>
      <w:pPr>
        <w:pStyle w:val="Body"/>
        <w:jc w:val="center"/>
        <w:rPr/>
      </w:pPr>
      <w:r>
        <w:rPr/>
        <w:t>Services</w:t>
      </w:r>
    </w:p>
    <w:tbl>
      <w:tblPr>
        <w:tblW w:w="14418" w:type="dxa"/>
        <w:jc w:val="start"/>
        <w:tblInd w:w="0" w:type="dxa"/>
        <w:tblLayout w:type="fixed"/>
        <w:tblCellMar>
          <w:top w:w="0" w:type="dxa"/>
          <w:start w:w="108" w:type="dxa"/>
          <w:bottom w:w="0" w:type="dxa"/>
          <w:end w:w="108" w:type="dxa"/>
        </w:tblCellMar>
      </w:tblPr>
      <w:tblGrid>
        <w:gridCol w:w="2268"/>
        <w:gridCol w:w="7"/>
        <w:gridCol w:w="243"/>
        <w:gridCol w:w="1197"/>
        <w:gridCol w:w="1584"/>
        <w:gridCol w:w="1584"/>
        <w:gridCol w:w="1584"/>
        <w:gridCol w:w="11"/>
        <w:gridCol w:w="5893"/>
        <w:gridCol w:w="47"/>
      </w:tblGrid>
      <w:tr>
        <w:trPr>
          <w:tblHeader w:val="true"/>
        </w:trPr>
        <w:tc>
          <w:tcPr>
            <w:tcW w:w="2268" w:type="dxa"/>
            <w:tcBorders/>
          </w:tcPr>
          <w:p>
            <w:pPr>
              <w:pStyle w:val="CellHead"/>
              <w:spacing w:before="60" w:after="60"/>
              <w:jc w:val="center"/>
              <w:rPr/>
            </w:pPr>
            <w:r>
              <w:rPr/>
              <w:t xml:space="preserve">Product -  </w:t>
            </w:r>
          </w:p>
        </w:tc>
        <w:tc>
          <w:tcPr>
            <w:tcW w:w="6210" w:type="dxa"/>
            <w:gridSpan w:val="7"/>
            <w:tcBorders/>
          </w:tcPr>
          <w:p>
            <w:pPr>
              <w:pStyle w:val="CellHead"/>
              <w:spacing w:before="60" w:after="60"/>
              <w:jc w:val="center"/>
              <w:rPr/>
            </w:pPr>
            <w:r>
              <w:rPr/>
              <w:t>Performance Dates</w:t>
            </w:r>
          </w:p>
        </w:tc>
        <w:tc>
          <w:tcPr>
            <w:tcW w:w="5940" w:type="dxa"/>
            <w:gridSpan w:val="2"/>
            <w:tcBorders/>
          </w:tcPr>
          <w:p>
            <w:pPr>
              <w:pStyle w:val="CellHead"/>
              <w:spacing w:before="60" w:after="60"/>
              <w:jc w:val="center"/>
              <w:rPr/>
            </w:pPr>
            <w:r>
              <w:rPr/>
              <w:t>Detail of Function for that Product</w:t>
            </w:r>
          </w:p>
        </w:tc>
      </w:tr>
      <w:tr>
        <w:trPr/>
        <w:tc>
          <w:tcPr>
            <w:tcW w:w="2275" w:type="dxa"/>
            <w:gridSpan w:val="2"/>
            <w:tcBorders/>
          </w:tcPr>
          <w:p>
            <w:pPr>
              <w:pStyle w:val="CellHead"/>
              <w:snapToGrid w:val="false"/>
              <w:spacing w:before="60" w:after="60"/>
              <w:jc w:val="center"/>
              <w:rPr/>
            </w:pPr>
            <w:r>
              <w:rPr/>
            </w:r>
          </w:p>
        </w:tc>
        <w:tc>
          <w:tcPr>
            <w:tcW w:w="1440" w:type="dxa"/>
            <w:gridSpan w:val="2"/>
            <w:tcBorders/>
          </w:tcPr>
          <w:p>
            <w:pPr>
              <w:pStyle w:val="CellHead"/>
              <w:spacing w:before="60" w:after="60"/>
              <w:jc w:val="center"/>
              <w:rPr/>
            </w:pPr>
            <w:r>
              <w:rPr/>
              <w:t>Weekly</w:t>
            </w:r>
          </w:p>
        </w:tc>
        <w:tc>
          <w:tcPr>
            <w:tcW w:w="1584" w:type="dxa"/>
            <w:tcBorders/>
          </w:tcPr>
          <w:p>
            <w:pPr>
              <w:pStyle w:val="CellHead"/>
              <w:spacing w:before="60" w:after="60"/>
              <w:jc w:val="center"/>
              <w:rPr/>
            </w:pPr>
            <w:r>
              <w:rPr/>
              <w:t>Monthly</w:t>
            </w:r>
          </w:p>
        </w:tc>
        <w:tc>
          <w:tcPr>
            <w:tcW w:w="1584" w:type="dxa"/>
            <w:tcBorders/>
          </w:tcPr>
          <w:p>
            <w:pPr>
              <w:pStyle w:val="CellHead"/>
              <w:spacing w:before="60" w:after="60"/>
              <w:jc w:val="center"/>
              <w:rPr/>
            </w:pPr>
            <w:r>
              <w:rPr/>
              <w:t>Quarterly</w:t>
            </w:r>
          </w:p>
        </w:tc>
        <w:tc>
          <w:tcPr>
            <w:tcW w:w="1595" w:type="dxa"/>
            <w:gridSpan w:val="2"/>
            <w:tcBorders/>
          </w:tcPr>
          <w:p>
            <w:pPr>
              <w:pStyle w:val="CellHead"/>
              <w:spacing w:before="60" w:after="60"/>
              <w:jc w:val="center"/>
              <w:rPr/>
            </w:pPr>
            <w:r>
              <w:rPr/>
              <w:t>Other</w:t>
            </w:r>
          </w:p>
        </w:tc>
        <w:tc>
          <w:tcPr>
            <w:tcW w:w="5893" w:type="dxa"/>
            <w:tcBorders/>
          </w:tcPr>
          <w:p>
            <w:pPr>
              <w:pStyle w:val="CellHead"/>
              <w:snapToGrid w:val="false"/>
              <w:spacing w:before="60" w:after="60"/>
              <w:jc w:val="center"/>
              <w:rPr/>
            </w:pPr>
            <w:r>
              <w:rPr/>
            </w:r>
          </w:p>
        </w:tc>
        <w:tc>
          <w:tcPr>
            <w:tcW w:w="47" w:type="dxa"/>
            <w:tcBorders/>
            <w:tcMar>
              <w:start w:w="0" w:type="dxa"/>
              <w:end w:w="0" w:type="dxa"/>
            </w:tcMar>
          </w:tcPr>
          <w:p>
            <w:pPr>
              <w:pStyle w:val="Normal"/>
              <w:snapToGrid w:val="false"/>
              <w:rPr>
                <w:b/>
              </w:rPr>
            </w:pPr>
            <w:r>
              <w:rPr>
                <w:b/>
              </w:rPr>
            </w:r>
          </w:p>
        </w:tc>
      </w:tr>
      <w:tr>
        <w:trPr/>
        <w:tc>
          <w:tcPr>
            <w:tcW w:w="2275" w:type="dxa"/>
            <w:gridSpan w:val="2"/>
            <w:tcBorders/>
          </w:tcPr>
          <w:p>
            <w:pPr>
              <w:pStyle w:val="Body"/>
              <w:snapToGrid w:val="false"/>
              <w:spacing w:before="0" w:after="140"/>
              <w:rPr>
                <w:b/>
              </w:rPr>
            </w:pPr>
            <w:r>
              <w:rPr>
                <w:b/>
              </w:rPr>
            </w:r>
          </w:p>
        </w:tc>
        <w:tc>
          <w:tcPr>
            <w:tcW w:w="1440" w:type="dxa"/>
            <w:gridSpan w:val="2"/>
            <w:tcBorders/>
          </w:tcPr>
          <w:p>
            <w:pPr>
              <w:pStyle w:val="Body"/>
              <w:snapToGrid w:val="false"/>
              <w:spacing w:before="0" w:after="140"/>
              <w:jc w:val="center"/>
              <w:rPr>
                <w:b/>
              </w:rPr>
            </w:pPr>
            <w:r>
              <w:rPr>
                <w:b/>
              </w:rPr>
            </w:r>
          </w:p>
        </w:tc>
        <w:tc>
          <w:tcPr>
            <w:tcW w:w="1584" w:type="dxa"/>
            <w:tcBorders/>
          </w:tcPr>
          <w:p>
            <w:pPr>
              <w:pStyle w:val="Body"/>
              <w:snapToGrid w:val="false"/>
              <w:spacing w:before="0" w:after="140"/>
              <w:jc w:val="center"/>
              <w:rPr>
                <w:b/>
              </w:rPr>
            </w:pPr>
            <w:r>
              <w:rPr>
                <w:b/>
              </w:rPr>
            </w:r>
          </w:p>
        </w:tc>
        <w:tc>
          <w:tcPr>
            <w:tcW w:w="1584" w:type="dxa"/>
            <w:tcBorders/>
          </w:tcPr>
          <w:p>
            <w:pPr>
              <w:pStyle w:val="Body"/>
              <w:snapToGrid w:val="false"/>
              <w:spacing w:before="0" w:after="140"/>
              <w:jc w:val="center"/>
              <w:rPr>
                <w:b/>
              </w:rPr>
            </w:pPr>
            <w:r>
              <w:rPr>
                <w:b/>
              </w:rPr>
            </w:r>
          </w:p>
        </w:tc>
        <w:tc>
          <w:tcPr>
            <w:tcW w:w="1595" w:type="dxa"/>
            <w:gridSpan w:val="2"/>
            <w:tcBorders/>
          </w:tcPr>
          <w:p>
            <w:pPr>
              <w:pStyle w:val="Body"/>
              <w:snapToGrid w:val="false"/>
              <w:spacing w:before="0" w:after="140"/>
              <w:jc w:val="center"/>
              <w:rPr>
                <w:b/>
              </w:rPr>
            </w:pPr>
            <w:r>
              <w:rPr>
                <w:b/>
              </w:rPr>
            </w:r>
          </w:p>
        </w:tc>
        <w:tc>
          <w:tcPr>
            <w:tcW w:w="5893" w:type="dxa"/>
            <w:tcBorders/>
          </w:tcPr>
          <w:p>
            <w:pPr>
              <w:pStyle w:val="Body"/>
              <w:snapToGrid w:val="false"/>
              <w:spacing w:before="0" w:after="140"/>
              <w:rPr>
                <w:b/>
              </w:rPr>
            </w:pPr>
            <w:r>
              <w:rPr>
                <w:b/>
              </w:rPr>
            </w:r>
          </w:p>
        </w:tc>
        <w:tc>
          <w:tcPr>
            <w:tcW w:w="47" w:type="dxa"/>
            <w:tcBorders/>
            <w:tcMar>
              <w:start w:w="0" w:type="dxa"/>
              <w:end w:w="0" w:type="dxa"/>
            </w:tcMar>
          </w:tcPr>
          <w:p>
            <w:pPr>
              <w:pStyle w:val="Normal"/>
              <w:snapToGrid w:val="false"/>
              <w:rPr/>
            </w:pPr>
            <w:r>
              <w:rPr/>
            </w:r>
          </w:p>
        </w:tc>
      </w:tr>
      <w:tr>
        <w:trPr/>
        <w:tc>
          <w:tcPr>
            <w:tcW w:w="2518" w:type="dxa"/>
            <w:gridSpan w:val="3"/>
            <w:tcBorders/>
          </w:tcPr>
          <w:p>
            <w:pPr>
              <w:pStyle w:val="Schedule1"/>
              <w:keepNext w:val="true"/>
              <w:numPr>
                <w:ilvl w:val="0"/>
                <w:numId w:val="24"/>
              </w:numPr>
              <w:spacing w:before="140" w:after="140"/>
              <w:ind w:hanging="0" w:start="0"/>
              <w:rPr>
                <w:b/>
                <w:sz w:val="22"/>
              </w:rPr>
            </w:pPr>
            <w:r>
              <w:rPr>
                <w:b/>
                <w:sz w:val="22"/>
              </w:rPr>
              <w:t>Confirmations</w:t>
            </w:r>
          </w:p>
        </w:tc>
        <w:tc>
          <w:tcPr>
            <w:tcW w:w="1197" w:type="dxa"/>
            <w:tcBorders/>
          </w:tcPr>
          <w:p>
            <w:pPr>
              <w:pStyle w:val="Body"/>
              <w:snapToGrid w:val="false"/>
              <w:spacing w:before="0" w:after="140"/>
              <w:jc w:val="center"/>
              <w:rPr>
                <w:b/>
                <w:sz w:val="22"/>
              </w:rPr>
            </w:pPr>
            <w:r>
              <w:rPr>
                <w:b/>
                <w:sz w:val="22"/>
              </w:rPr>
            </w:r>
          </w:p>
        </w:tc>
        <w:tc>
          <w:tcPr>
            <w:tcW w:w="1584" w:type="dxa"/>
            <w:tcBorders/>
          </w:tcPr>
          <w:p>
            <w:pPr>
              <w:pStyle w:val="Body"/>
              <w:snapToGrid w:val="false"/>
              <w:spacing w:before="0" w:after="140"/>
              <w:jc w:val="center"/>
              <w:rPr/>
            </w:pPr>
            <w:r>
              <w:rPr/>
            </w:r>
          </w:p>
        </w:tc>
        <w:tc>
          <w:tcPr>
            <w:tcW w:w="1584" w:type="dxa"/>
            <w:tcBorders/>
          </w:tcPr>
          <w:p>
            <w:pPr>
              <w:pStyle w:val="Body"/>
              <w:snapToGrid w:val="false"/>
              <w:spacing w:before="0" w:after="140"/>
              <w:jc w:val="center"/>
              <w:rPr/>
            </w:pPr>
            <w:r>
              <w:rPr/>
            </w:r>
          </w:p>
        </w:tc>
        <w:tc>
          <w:tcPr>
            <w:tcW w:w="1595" w:type="dxa"/>
            <w:gridSpan w:val="2"/>
            <w:tcBorders/>
          </w:tcPr>
          <w:p>
            <w:pPr>
              <w:pStyle w:val="Body"/>
              <w:spacing w:before="0" w:after="140"/>
              <w:jc w:val="start"/>
              <w:rPr/>
            </w:pPr>
            <w:r>
              <w:rPr/>
              <w:t>Promptly after trade date</w:t>
            </w:r>
          </w:p>
        </w:tc>
        <w:tc>
          <w:tcPr>
            <w:tcW w:w="5893" w:type="dxa"/>
            <w:tcBorders/>
          </w:tcPr>
          <w:p>
            <w:pPr>
              <w:pStyle w:val="Body"/>
              <w:widowControl/>
              <w:bidi w:val="0"/>
              <w:spacing w:lineRule="auto" w:line="288" w:before="0" w:after="140"/>
              <w:jc w:val="both"/>
              <w:rPr/>
            </w:pPr>
            <w:r>
              <w:rPr/>
              <w:t>Counterparty shall prepare a Confirmation on Enron’s letterhead and send to Customer</w:t>
            </w:r>
          </w:p>
        </w:tc>
        <w:tc>
          <w:tcPr>
            <w:tcW w:w="47" w:type="dxa"/>
            <w:tcBorders/>
            <w:tcMar>
              <w:start w:w="0" w:type="dxa"/>
              <w:end w:w="0" w:type="dxa"/>
            </w:tcMar>
          </w:tcPr>
          <w:p>
            <w:pPr>
              <w:pStyle w:val="Normal"/>
              <w:snapToGrid w:val="false"/>
              <w:rPr>
                <w:b/>
              </w:rPr>
            </w:pPr>
            <w:r>
              <w:rPr>
                <w:b/>
              </w:rPr>
            </w:r>
          </w:p>
        </w:tc>
      </w:tr>
      <w:tr>
        <w:trPr/>
        <w:tc>
          <w:tcPr>
            <w:tcW w:w="2518" w:type="dxa"/>
            <w:gridSpan w:val="3"/>
            <w:tcBorders/>
          </w:tcPr>
          <w:p>
            <w:pPr>
              <w:pStyle w:val="Body"/>
              <w:snapToGrid w:val="false"/>
              <w:spacing w:before="0" w:after="140"/>
              <w:rPr>
                <w:b/>
              </w:rPr>
            </w:pPr>
            <w:r>
              <w:rPr>
                <w:b/>
              </w:rPr>
            </w:r>
          </w:p>
        </w:tc>
        <w:tc>
          <w:tcPr>
            <w:tcW w:w="1197" w:type="dxa"/>
            <w:tcBorders/>
          </w:tcPr>
          <w:p>
            <w:pPr>
              <w:pStyle w:val="Body"/>
              <w:snapToGrid w:val="false"/>
              <w:spacing w:before="0" w:after="140"/>
              <w:jc w:val="center"/>
              <w:rPr/>
            </w:pPr>
            <w:r>
              <w:rPr/>
            </w:r>
          </w:p>
        </w:tc>
        <w:tc>
          <w:tcPr>
            <w:tcW w:w="1584" w:type="dxa"/>
            <w:tcBorders/>
          </w:tcPr>
          <w:p>
            <w:pPr>
              <w:pStyle w:val="Body"/>
              <w:snapToGrid w:val="false"/>
              <w:spacing w:before="0" w:after="140"/>
              <w:jc w:val="center"/>
              <w:rPr/>
            </w:pPr>
            <w:r>
              <w:rPr/>
            </w:r>
          </w:p>
        </w:tc>
        <w:tc>
          <w:tcPr>
            <w:tcW w:w="1584" w:type="dxa"/>
            <w:tcBorders/>
          </w:tcPr>
          <w:p>
            <w:pPr>
              <w:pStyle w:val="Body"/>
              <w:snapToGrid w:val="false"/>
              <w:spacing w:before="0" w:after="140"/>
              <w:jc w:val="center"/>
              <w:rPr/>
            </w:pPr>
            <w:r>
              <w:rPr/>
            </w:r>
          </w:p>
        </w:tc>
        <w:tc>
          <w:tcPr>
            <w:tcW w:w="1595" w:type="dxa"/>
            <w:gridSpan w:val="2"/>
            <w:tcBorders/>
          </w:tcPr>
          <w:p>
            <w:pPr>
              <w:pStyle w:val="Body"/>
              <w:spacing w:before="0" w:after="140"/>
              <w:jc w:val="start"/>
              <w:rPr/>
            </w:pPr>
            <w:r>
              <w:rPr/>
              <w:t>Within 5 Business Days of trade date</w:t>
            </w:r>
          </w:p>
        </w:tc>
        <w:tc>
          <w:tcPr>
            <w:tcW w:w="5893" w:type="dxa"/>
            <w:tcBorders/>
          </w:tcPr>
          <w:p>
            <w:pPr>
              <w:pStyle w:val="Body"/>
              <w:widowControl/>
              <w:bidi w:val="0"/>
              <w:spacing w:lineRule="auto" w:line="288" w:before="0" w:after="140"/>
              <w:jc w:val="both"/>
              <w:rPr/>
            </w:pPr>
            <w:r>
              <w:rPr/>
              <w:t>Counterparty will arrange for the Confirmation to be executed by the Customer and Enron (either by a Designated Signatory or otherwise)</w:t>
            </w:r>
          </w:p>
        </w:tc>
        <w:tc>
          <w:tcPr>
            <w:tcW w:w="47" w:type="dxa"/>
            <w:tcBorders/>
            <w:tcMar>
              <w:start w:w="0" w:type="dxa"/>
              <w:end w:w="0" w:type="dxa"/>
            </w:tcMar>
          </w:tcPr>
          <w:p>
            <w:pPr>
              <w:pStyle w:val="Normal"/>
              <w:snapToGrid w:val="false"/>
              <w:rPr>
                <w:b/>
              </w:rPr>
            </w:pPr>
            <w:r>
              <w:rPr>
                <w:b/>
              </w:rPr>
            </w:r>
          </w:p>
        </w:tc>
      </w:tr>
      <w:tr>
        <w:trPr/>
        <w:tc>
          <w:tcPr>
            <w:tcW w:w="2518" w:type="dxa"/>
            <w:gridSpan w:val="3"/>
            <w:tcBorders/>
          </w:tcPr>
          <w:p>
            <w:pPr>
              <w:pStyle w:val="Body"/>
              <w:snapToGrid w:val="false"/>
              <w:spacing w:before="0" w:after="140"/>
              <w:rPr>
                <w:b/>
              </w:rPr>
            </w:pPr>
            <w:r>
              <w:rPr>
                <w:b/>
              </w:rPr>
            </w:r>
          </w:p>
        </w:tc>
        <w:tc>
          <w:tcPr>
            <w:tcW w:w="1197" w:type="dxa"/>
            <w:tcBorders/>
          </w:tcPr>
          <w:p>
            <w:pPr>
              <w:pStyle w:val="Body"/>
              <w:snapToGrid w:val="false"/>
              <w:spacing w:before="0" w:after="140"/>
              <w:jc w:val="center"/>
              <w:rPr/>
            </w:pPr>
            <w:r>
              <w:rPr/>
            </w:r>
          </w:p>
        </w:tc>
        <w:tc>
          <w:tcPr>
            <w:tcW w:w="1584" w:type="dxa"/>
            <w:tcBorders/>
          </w:tcPr>
          <w:p>
            <w:pPr>
              <w:pStyle w:val="Body"/>
              <w:snapToGrid w:val="false"/>
              <w:spacing w:before="0" w:after="140"/>
              <w:jc w:val="center"/>
              <w:rPr/>
            </w:pPr>
            <w:r>
              <w:rPr/>
            </w:r>
          </w:p>
        </w:tc>
        <w:tc>
          <w:tcPr>
            <w:tcW w:w="1584" w:type="dxa"/>
            <w:tcBorders/>
          </w:tcPr>
          <w:p>
            <w:pPr>
              <w:pStyle w:val="Body"/>
              <w:snapToGrid w:val="false"/>
              <w:spacing w:before="0" w:after="140"/>
              <w:jc w:val="center"/>
              <w:rPr/>
            </w:pPr>
            <w:r>
              <w:rPr/>
            </w:r>
          </w:p>
        </w:tc>
        <w:tc>
          <w:tcPr>
            <w:tcW w:w="1595" w:type="dxa"/>
            <w:gridSpan w:val="2"/>
            <w:tcBorders/>
          </w:tcPr>
          <w:p>
            <w:pPr>
              <w:pStyle w:val="Body"/>
              <w:spacing w:before="0" w:after="140"/>
              <w:jc w:val="start"/>
              <w:rPr/>
            </w:pPr>
            <w:r>
              <w:rPr/>
              <w:t>Within one Business Day of execution of the Confirmation</w:t>
            </w:r>
          </w:p>
        </w:tc>
        <w:tc>
          <w:tcPr>
            <w:tcW w:w="5893" w:type="dxa"/>
            <w:tcBorders/>
          </w:tcPr>
          <w:p>
            <w:pPr>
              <w:pStyle w:val="Body"/>
              <w:widowControl/>
              <w:bidi w:val="0"/>
              <w:spacing w:lineRule="auto" w:line="288" w:before="0" w:after="140"/>
              <w:jc w:val="both"/>
              <w:rPr/>
            </w:pPr>
            <w:r>
              <w:rPr/>
              <w:t>Counterparty shall send to Enron a copy of the executed Confirmation</w:t>
            </w:r>
          </w:p>
        </w:tc>
        <w:tc>
          <w:tcPr>
            <w:tcW w:w="47" w:type="dxa"/>
            <w:tcBorders/>
            <w:tcMar>
              <w:start w:w="0" w:type="dxa"/>
              <w:end w:w="0" w:type="dxa"/>
            </w:tcMar>
          </w:tcPr>
          <w:p>
            <w:pPr>
              <w:pStyle w:val="Normal"/>
              <w:snapToGrid w:val="false"/>
              <w:rPr>
                <w:b/>
              </w:rPr>
            </w:pPr>
            <w:r>
              <w:rPr>
                <w:b/>
              </w:rPr>
            </w:r>
          </w:p>
        </w:tc>
      </w:tr>
      <w:tr>
        <w:trPr/>
        <w:tc>
          <w:tcPr>
            <w:tcW w:w="2518" w:type="dxa"/>
            <w:gridSpan w:val="3"/>
            <w:tcBorders/>
          </w:tcPr>
          <w:p>
            <w:pPr>
              <w:pStyle w:val="Schedule1"/>
              <w:keepNext w:val="true"/>
              <w:numPr>
                <w:ilvl w:val="0"/>
                <w:numId w:val="24"/>
              </w:numPr>
              <w:spacing w:before="140" w:after="140"/>
              <w:ind w:hanging="0" w:start="0"/>
              <w:rPr>
                <w:b/>
                <w:sz w:val="22"/>
              </w:rPr>
            </w:pPr>
            <w:r>
              <w:rPr>
                <w:b/>
                <w:sz w:val="22"/>
              </w:rPr>
              <w:t>[Valuations]</w:t>
            </w:r>
          </w:p>
        </w:tc>
        <w:tc>
          <w:tcPr>
            <w:tcW w:w="1197" w:type="dxa"/>
            <w:tcBorders/>
          </w:tcPr>
          <w:p>
            <w:pPr>
              <w:pStyle w:val="Body"/>
              <w:spacing w:before="0" w:after="140"/>
              <w:jc w:val="center"/>
              <w:rPr/>
            </w:pPr>
            <w:r>
              <w:rPr/>
              <w:t>[Yes]</w:t>
            </w:r>
          </w:p>
        </w:tc>
        <w:tc>
          <w:tcPr>
            <w:tcW w:w="1584" w:type="dxa"/>
            <w:tcBorders/>
          </w:tcPr>
          <w:p>
            <w:pPr>
              <w:pStyle w:val="Body"/>
              <w:snapToGrid w:val="false"/>
              <w:spacing w:before="0" w:after="140"/>
              <w:jc w:val="center"/>
              <w:rPr/>
            </w:pPr>
            <w:r>
              <w:rPr/>
            </w:r>
          </w:p>
        </w:tc>
        <w:tc>
          <w:tcPr>
            <w:tcW w:w="1584" w:type="dxa"/>
            <w:tcBorders/>
          </w:tcPr>
          <w:p>
            <w:pPr>
              <w:pStyle w:val="Body"/>
              <w:snapToGrid w:val="false"/>
              <w:spacing w:before="0" w:after="140"/>
              <w:jc w:val="center"/>
              <w:rPr/>
            </w:pPr>
            <w:r>
              <w:rPr/>
            </w:r>
          </w:p>
        </w:tc>
        <w:tc>
          <w:tcPr>
            <w:tcW w:w="1595" w:type="dxa"/>
            <w:gridSpan w:val="2"/>
            <w:tcBorders/>
          </w:tcPr>
          <w:p>
            <w:pPr>
              <w:pStyle w:val="Body"/>
              <w:snapToGrid w:val="false"/>
              <w:spacing w:before="0" w:after="140"/>
              <w:jc w:val="start"/>
              <w:rPr/>
            </w:pPr>
            <w:r>
              <w:rPr/>
            </w:r>
          </w:p>
        </w:tc>
        <w:tc>
          <w:tcPr>
            <w:tcW w:w="5893" w:type="dxa"/>
            <w:tcBorders/>
          </w:tcPr>
          <w:p>
            <w:pPr>
              <w:pStyle w:val="Body"/>
              <w:snapToGrid w:val="false"/>
              <w:spacing w:before="0" w:after="140"/>
              <w:rPr/>
            </w:pPr>
            <w:r>
              <w:rPr/>
            </w:r>
          </w:p>
        </w:tc>
        <w:tc>
          <w:tcPr>
            <w:tcW w:w="47" w:type="dxa"/>
            <w:tcBorders/>
            <w:tcMar>
              <w:start w:w="0" w:type="dxa"/>
              <w:end w:w="0" w:type="dxa"/>
            </w:tcMar>
          </w:tcPr>
          <w:p>
            <w:pPr>
              <w:pStyle w:val="Normal"/>
              <w:snapToGrid w:val="false"/>
              <w:rPr>
                <w:b/>
              </w:rPr>
            </w:pPr>
            <w:r>
              <w:rPr>
                <w:b/>
              </w:rPr>
            </w:r>
          </w:p>
        </w:tc>
      </w:tr>
      <w:tr>
        <w:trPr/>
        <w:tc>
          <w:tcPr>
            <w:tcW w:w="2518" w:type="dxa"/>
            <w:gridSpan w:val="3"/>
            <w:tcBorders/>
          </w:tcPr>
          <w:p>
            <w:pPr>
              <w:pStyle w:val="Schedule1"/>
              <w:keepNext w:val="true"/>
              <w:numPr>
                <w:ilvl w:val="0"/>
                <w:numId w:val="24"/>
              </w:numPr>
              <w:spacing w:before="140" w:after="140"/>
              <w:ind w:hanging="0" w:start="0"/>
              <w:rPr>
                <w:b/>
                <w:sz w:val="22"/>
              </w:rPr>
            </w:pPr>
            <w:r>
              <w:rPr>
                <w:b/>
                <w:sz w:val="22"/>
              </w:rPr>
              <w:t>Settlement</w:t>
            </w:r>
          </w:p>
        </w:tc>
        <w:tc>
          <w:tcPr>
            <w:tcW w:w="1197" w:type="dxa"/>
            <w:tcBorders/>
          </w:tcPr>
          <w:p>
            <w:pPr>
              <w:pStyle w:val="Body"/>
              <w:snapToGrid w:val="false"/>
              <w:spacing w:before="0" w:after="140"/>
              <w:jc w:val="center"/>
              <w:rPr>
                <w:b/>
                <w:sz w:val="22"/>
              </w:rPr>
            </w:pPr>
            <w:r>
              <w:rPr>
                <w:b/>
                <w:sz w:val="22"/>
              </w:rPr>
            </w:r>
          </w:p>
        </w:tc>
        <w:tc>
          <w:tcPr>
            <w:tcW w:w="1584" w:type="dxa"/>
            <w:tcBorders/>
          </w:tcPr>
          <w:p>
            <w:pPr>
              <w:pStyle w:val="Body"/>
              <w:snapToGrid w:val="false"/>
              <w:spacing w:before="0" w:after="140"/>
              <w:jc w:val="center"/>
              <w:rPr/>
            </w:pPr>
            <w:r>
              <w:rPr/>
            </w:r>
          </w:p>
        </w:tc>
        <w:tc>
          <w:tcPr>
            <w:tcW w:w="1584" w:type="dxa"/>
            <w:tcBorders/>
          </w:tcPr>
          <w:p>
            <w:pPr>
              <w:pStyle w:val="Body"/>
              <w:snapToGrid w:val="false"/>
              <w:spacing w:before="0" w:after="140"/>
              <w:jc w:val="center"/>
              <w:rPr/>
            </w:pPr>
            <w:r>
              <w:rPr/>
            </w:r>
          </w:p>
        </w:tc>
        <w:tc>
          <w:tcPr>
            <w:tcW w:w="1584" w:type="dxa"/>
            <w:tcBorders/>
          </w:tcPr>
          <w:p>
            <w:pPr>
              <w:pStyle w:val="Body"/>
              <w:snapToGrid w:val="false"/>
              <w:spacing w:before="0" w:after="140"/>
              <w:jc w:val="start"/>
              <w:rPr/>
            </w:pPr>
            <w:r>
              <w:rPr/>
            </w:r>
          </w:p>
        </w:tc>
        <w:tc>
          <w:tcPr>
            <w:tcW w:w="5904" w:type="dxa"/>
            <w:gridSpan w:val="2"/>
            <w:tcBorders/>
          </w:tcPr>
          <w:p>
            <w:pPr>
              <w:pStyle w:val="Body"/>
              <w:snapToGrid w:val="false"/>
              <w:spacing w:before="0" w:after="140"/>
              <w:rPr/>
            </w:pPr>
            <w:r>
              <w:rPr/>
            </w:r>
          </w:p>
        </w:tc>
        <w:tc>
          <w:tcPr>
            <w:tcW w:w="47" w:type="dxa"/>
            <w:tcBorders/>
            <w:tcMar>
              <w:start w:w="0" w:type="dxa"/>
              <w:end w:w="0" w:type="dxa"/>
            </w:tcMar>
          </w:tcPr>
          <w:p>
            <w:pPr>
              <w:pStyle w:val="Normal"/>
              <w:snapToGrid w:val="false"/>
              <w:rPr/>
            </w:pPr>
            <w:r>
              <w:rPr/>
            </w:r>
          </w:p>
        </w:tc>
      </w:tr>
      <w:tr>
        <w:trPr/>
        <w:tc>
          <w:tcPr>
            <w:tcW w:w="2518" w:type="dxa"/>
            <w:gridSpan w:val="3"/>
            <w:tcBorders/>
          </w:tcPr>
          <w:p>
            <w:pPr>
              <w:pStyle w:val="Schedule2"/>
              <w:keepNext w:val="true"/>
              <w:numPr>
                <w:ilvl w:val="0"/>
                <w:numId w:val="0"/>
              </w:numPr>
              <w:snapToGrid w:val="false"/>
              <w:spacing w:before="140" w:after="60"/>
              <w:ind w:hanging="0" w:start="0"/>
              <w:rPr>
                <w:b/>
                <w:sz w:val="21"/>
              </w:rPr>
            </w:pPr>
            <w:r>
              <w:rPr>
                <w:b/>
                <w:sz w:val="21"/>
              </w:rPr>
            </w:r>
          </w:p>
        </w:tc>
        <w:tc>
          <w:tcPr>
            <w:tcW w:w="1197" w:type="dxa"/>
            <w:tcBorders/>
          </w:tcPr>
          <w:p>
            <w:pPr>
              <w:pStyle w:val="Body"/>
              <w:snapToGrid w:val="false"/>
              <w:spacing w:before="0" w:after="140"/>
              <w:jc w:val="center"/>
              <w:rPr>
                <w:b/>
                <w:sz w:val="21"/>
              </w:rPr>
            </w:pPr>
            <w:r>
              <w:rPr>
                <w:b/>
                <w:sz w:val="21"/>
              </w:rPr>
            </w:r>
          </w:p>
        </w:tc>
        <w:tc>
          <w:tcPr>
            <w:tcW w:w="1584" w:type="dxa"/>
            <w:tcBorders/>
          </w:tcPr>
          <w:p>
            <w:pPr>
              <w:pStyle w:val="Body"/>
              <w:snapToGrid w:val="false"/>
              <w:spacing w:before="0" w:after="140"/>
              <w:jc w:val="center"/>
              <w:rPr/>
            </w:pPr>
            <w:r>
              <w:rPr/>
            </w:r>
          </w:p>
        </w:tc>
        <w:tc>
          <w:tcPr>
            <w:tcW w:w="1584" w:type="dxa"/>
            <w:tcBorders/>
          </w:tcPr>
          <w:p>
            <w:pPr>
              <w:pStyle w:val="Body"/>
              <w:snapToGrid w:val="false"/>
              <w:spacing w:before="0" w:after="140"/>
              <w:jc w:val="center"/>
              <w:rPr/>
            </w:pPr>
            <w:r>
              <w:rPr/>
            </w:r>
          </w:p>
        </w:tc>
        <w:tc>
          <w:tcPr>
            <w:tcW w:w="1584" w:type="dxa"/>
            <w:tcBorders/>
          </w:tcPr>
          <w:p>
            <w:pPr>
              <w:pStyle w:val="Body"/>
              <w:spacing w:before="0" w:after="140"/>
              <w:jc w:val="start"/>
              <w:rPr/>
            </w:pPr>
            <w:r>
              <w:rPr/>
              <w:t>5 Business Days before the relevant Settlement Date</w:t>
            </w:r>
          </w:p>
        </w:tc>
        <w:tc>
          <w:tcPr>
            <w:tcW w:w="5904" w:type="dxa"/>
            <w:gridSpan w:val="2"/>
            <w:tcBorders/>
          </w:tcPr>
          <w:p>
            <w:pPr>
              <w:pStyle w:val="Body"/>
              <w:widowControl/>
              <w:bidi w:val="0"/>
              <w:spacing w:lineRule="auto" w:line="288" w:before="0" w:after="140"/>
              <w:jc w:val="both"/>
              <w:rPr/>
            </w:pPr>
            <w:r>
              <w:rPr/>
              <w:t xml:space="preserve">Counterparty will inform Enron of the estimated payments and deliveries due on the settlement date. </w:t>
            </w:r>
          </w:p>
        </w:tc>
        <w:tc>
          <w:tcPr>
            <w:tcW w:w="47" w:type="dxa"/>
            <w:tcBorders/>
            <w:tcMar>
              <w:start w:w="0" w:type="dxa"/>
              <w:end w:w="0" w:type="dxa"/>
            </w:tcMar>
          </w:tcPr>
          <w:p>
            <w:pPr>
              <w:pStyle w:val="Normal"/>
              <w:snapToGrid w:val="false"/>
              <w:rPr/>
            </w:pPr>
            <w:r>
              <w:rPr/>
            </w:r>
          </w:p>
        </w:tc>
      </w:tr>
      <w:tr>
        <w:trPr/>
        <w:tc>
          <w:tcPr>
            <w:tcW w:w="2518" w:type="dxa"/>
            <w:gridSpan w:val="3"/>
            <w:tcBorders/>
          </w:tcPr>
          <w:p>
            <w:pPr>
              <w:pStyle w:val="Schedule2"/>
              <w:numPr>
                <w:ilvl w:val="0"/>
                <w:numId w:val="0"/>
              </w:numPr>
              <w:snapToGrid w:val="false"/>
              <w:spacing w:before="0" w:after="140"/>
              <w:ind w:hanging="0" w:start="0"/>
              <w:rPr>
                <w:b/>
              </w:rPr>
            </w:pPr>
            <w:r>
              <w:rPr>
                <w:b/>
              </w:rPr>
            </w:r>
          </w:p>
        </w:tc>
        <w:tc>
          <w:tcPr>
            <w:tcW w:w="1197" w:type="dxa"/>
            <w:tcBorders/>
          </w:tcPr>
          <w:p>
            <w:pPr>
              <w:pStyle w:val="Body"/>
              <w:snapToGrid w:val="false"/>
              <w:spacing w:before="0" w:after="140"/>
              <w:jc w:val="center"/>
              <w:rPr>
                <w:b/>
              </w:rPr>
            </w:pPr>
            <w:r>
              <w:rPr>
                <w:b/>
              </w:rPr>
            </w:r>
          </w:p>
        </w:tc>
        <w:tc>
          <w:tcPr>
            <w:tcW w:w="1584" w:type="dxa"/>
            <w:tcBorders/>
          </w:tcPr>
          <w:p>
            <w:pPr>
              <w:pStyle w:val="Body"/>
              <w:snapToGrid w:val="false"/>
              <w:spacing w:before="0" w:after="140"/>
              <w:jc w:val="center"/>
              <w:rPr/>
            </w:pPr>
            <w:r>
              <w:rPr/>
            </w:r>
          </w:p>
        </w:tc>
        <w:tc>
          <w:tcPr>
            <w:tcW w:w="1584" w:type="dxa"/>
            <w:tcBorders/>
          </w:tcPr>
          <w:p>
            <w:pPr>
              <w:pStyle w:val="Body"/>
              <w:snapToGrid w:val="false"/>
              <w:spacing w:before="0" w:after="140"/>
              <w:jc w:val="center"/>
              <w:rPr/>
            </w:pPr>
            <w:r>
              <w:rPr/>
            </w:r>
          </w:p>
        </w:tc>
        <w:tc>
          <w:tcPr>
            <w:tcW w:w="1584" w:type="dxa"/>
            <w:tcBorders/>
          </w:tcPr>
          <w:p>
            <w:pPr>
              <w:pStyle w:val="Body"/>
              <w:spacing w:before="0" w:after="140"/>
              <w:jc w:val="start"/>
              <w:rPr/>
            </w:pPr>
            <w:r>
              <w:rPr/>
              <w:t>On the Settlement Date</w:t>
            </w:r>
          </w:p>
        </w:tc>
        <w:tc>
          <w:tcPr>
            <w:tcW w:w="5904" w:type="dxa"/>
            <w:gridSpan w:val="2"/>
            <w:tcBorders/>
          </w:tcPr>
          <w:p>
            <w:pPr>
              <w:pStyle w:val="Body"/>
              <w:widowControl/>
              <w:bidi w:val="0"/>
              <w:spacing w:lineRule="auto" w:line="288" w:before="0" w:after="140"/>
              <w:jc w:val="both"/>
              <w:rPr/>
            </w:pPr>
            <w:r>
              <w:rPr/>
              <w:t>Counterparty shall settle the Customer Transaction on behalf of Enron in accordance with its terms</w:t>
            </w:r>
          </w:p>
        </w:tc>
        <w:tc>
          <w:tcPr>
            <w:tcW w:w="47" w:type="dxa"/>
            <w:tcBorders/>
            <w:tcMar>
              <w:start w:w="0" w:type="dxa"/>
              <w:end w:w="0" w:type="dxa"/>
            </w:tcMar>
          </w:tcPr>
          <w:p>
            <w:pPr>
              <w:pStyle w:val="Normal"/>
              <w:snapToGrid w:val="false"/>
              <w:rPr/>
            </w:pPr>
            <w:r>
              <w:rPr/>
            </w:r>
          </w:p>
        </w:tc>
      </w:tr>
      <w:tr>
        <w:trPr/>
        <w:tc>
          <w:tcPr>
            <w:tcW w:w="2518" w:type="dxa"/>
            <w:gridSpan w:val="3"/>
            <w:tcBorders/>
          </w:tcPr>
          <w:p>
            <w:pPr>
              <w:pStyle w:val="Schedule2"/>
              <w:numPr>
                <w:ilvl w:val="0"/>
                <w:numId w:val="0"/>
              </w:numPr>
              <w:snapToGrid w:val="false"/>
              <w:spacing w:before="0" w:after="140"/>
              <w:ind w:hanging="0" w:start="0"/>
              <w:rPr>
                <w:b/>
              </w:rPr>
            </w:pPr>
            <w:r>
              <w:rPr>
                <w:b/>
              </w:rPr>
            </w:r>
          </w:p>
        </w:tc>
        <w:tc>
          <w:tcPr>
            <w:tcW w:w="1197" w:type="dxa"/>
            <w:tcBorders/>
          </w:tcPr>
          <w:p>
            <w:pPr>
              <w:pStyle w:val="Body"/>
              <w:snapToGrid w:val="false"/>
              <w:spacing w:before="0" w:after="140"/>
              <w:jc w:val="center"/>
              <w:rPr>
                <w:b/>
              </w:rPr>
            </w:pPr>
            <w:r>
              <w:rPr>
                <w:b/>
              </w:rPr>
            </w:r>
          </w:p>
        </w:tc>
        <w:tc>
          <w:tcPr>
            <w:tcW w:w="1584" w:type="dxa"/>
            <w:tcBorders/>
          </w:tcPr>
          <w:p>
            <w:pPr>
              <w:pStyle w:val="Body"/>
              <w:snapToGrid w:val="false"/>
              <w:spacing w:before="0" w:after="140"/>
              <w:jc w:val="center"/>
              <w:rPr/>
            </w:pPr>
            <w:r>
              <w:rPr/>
            </w:r>
          </w:p>
        </w:tc>
        <w:tc>
          <w:tcPr>
            <w:tcW w:w="1584" w:type="dxa"/>
            <w:tcBorders/>
          </w:tcPr>
          <w:p>
            <w:pPr>
              <w:pStyle w:val="Body"/>
              <w:snapToGrid w:val="false"/>
              <w:spacing w:before="0" w:after="140"/>
              <w:jc w:val="center"/>
              <w:rPr/>
            </w:pPr>
            <w:r>
              <w:rPr/>
            </w:r>
          </w:p>
        </w:tc>
        <w:tc>
          <w:tcPr>
            <w:tcW w:w="1584" w:type="dxa"/>
            <w:tcBorders/>
          </w:tcPr>
          <w:p>
            <w:pPr>
              <w:pStyle w:val="Body"/>
              <w:spacing w:before="0" w:after="140"/>
              <w:jc w:val="start"/>
              <w:rPr/>
            </w:pPr>
            <w:r>
              <w:rPr/>
              <w:t>One Business Day following relevant Settlement Date</w:t>
            </w:r>
          </w:p>
        </w:tc>
        <w:tc>
          <w:tcPr>
            <w:tcW w:w="5904" w:type="dxa"/>
            <w:gridSpan w:val="2"/>
            <w:tcBorders/>
          </w:tcPr>
          <w:p>
            <w:pPr>
              <w:pStyle w:val="Body"/>
              <w:widowControl/>
              <w:bidi w:val="0"/>
              <w:spacing w:lineRule="auto" w:line="288" w:before="0" w:after="140"/>
              <w:jc w:val="both"/>
              <w:rPr/>
            </w:pPr>
            <w:r>
              <w:rPr/>
              <w:t>Counterparty shall confirm in writing the settlement which took place to Enron</w:t>
            </w:r>
          </w:p>
        </w:tc>
        <w:tc>
          <w:tcPr>
            <w:tcW w:w="47" w:type="dxa"/>
            <w:tcBorders/>
            <w:tcMar>
              <w:start w:w="0" w:type="dxa"/>
              <w:end w:w="0" w:type="dxa"/>
            </w:tcMar>
          </w:tcPr>
          <w:p>
            <w:pPr>
              <w:pStyle w:val="Normal"/>
              <w:snapToGrid w:val="false"/>
              <w:rPr/>
            </w:pPr>
            <w:r>
              <w:rPr/>
            </w:r>
          </w:p>
        </w:tc>
      </w:tr>
    </w:tbl>
    <w:p>
      <w:pPr>
        <w:pStyle w:val="Body"/>
        <w:rPr/>
      </w:pPr>
      <w:r>
        <w:rPr/>
      </w:r>
      <w:r>
        <w:br w:type="page"/>
      </w:r>
    </w:p>
    <w:p>
      <w:pPr>
        <w:pStyle w:val="Body"/>
        <w:rPr/>
      </w:pPr>
      <w:r>
        <w:rPr/>
      </w:r>
    </w:p>
    <w:p>
      <w:pPr>
        <w:pStyle w:val="Head"/>
        <w:rPr/>
      </w:pPr>
      <w:r>
        <w:rPr/>
        <w:t>Schedule Definitions</w:t>
      </w:r>
    </w:p>
    <w:tbl>
      <w:tblPr>
        <w:tblW w:w="13652" w:type="dxa"/>
        <w:jc w:val="start"/>
        <w:tblInd w:w="0" w:type="dxa"/>
        <w:tblLayout w:type="fixed"/>
        <w:tblCellMar>
          <w:top w:w="0" w:type="dxa"/>
          <w:start w:w="108" w:type="dxa"/>
          <w:bottom w:w="0" w:type="dxa"/>
          <w:end w:w="108" w:type="dxa"/>
        </w:tblCellMar>
      </w:tblPr>
      <w:tblGrid>
        <w:gridCol w:w="3708"/>
        <w:gridCol w:w="9944"/>
      </w:tblGrid>
      <w:tr>
        <w:trPr/>
        <w:tc>
          <w:tcPr>
            <w:tcW w:w="3708" w:type="dxa"/>
            <w:tcBorders/>
          </w:tcPr>
          <w:p>
            <w:pPr>
              <w:pStyle w:val="Body"/>
              <w:widowControl/>
              <w:bidi w:val="0"/>
              <w:spacing w:lineRule="auto" w:line="288" w:before="0" w:after="140"/>
              <w:jc w:val="both"/>
              <w:rPr/>
            </w:pPr>
            <w:r>
              <w:rPr/>
              <w:t>“</w:t>
            </w:r>
            <w:r>
              <w:rPr/>
              <w:t>Confirmations”</w:t>
            </w:r>
          </w:p>
        </w:tc>
        <w:tc>
          <w:tcPr>
            <w:tcW w:w="9944" w:type="dxa"/>
            <w:tcBorders/>
          </w:tcPr>
          <w:p>
            <w:pPr>
              <w:pStyle w:val="Body"/>
              <w:widowControl/>
              <w:bidi w:val="0"/>
              <w:spacing w:lineRule="auto" w:line="288" w:before="0" w:after="140"/>
              <w:jc w:val="both"/>
              <w:rPr/>
            </w:pPr>
            <w:r>
              <w:rPr/>
              <w:t>means a confirmation between Enron and a Customer which confirms the terms for a Customer Transaction.</w:t>
            </w:r>
          </w:p>
        </w:tc>
      </w:tr>
      <w:tr>
        <w:trPr/>
        <w:tc>
          <w:tcPr>
            <w:tcW w:w="3708" w:type="dxa"/>
            <w:tcBorders/>
          </w:tcPr>
          <w:p>
            <w:pPr>
              <w:pStyle w:val="Body"/>
              <w:widowControl/>
              <w:bidi w:val="0"/>
              <w:spacing w:lineRule="auto" w:line="288" w:before="0" w:after="140"/>
              <w:jc w:val="both"/>
              <w:rPr/>
            </w:pPr>
            <w:r>
              <w:rPr/>
              <w:t>“</w:t>
            </w:r>
            <w:r>
              <w:rPr/>
              <w:t>Designated Signatory”</w:t>
            </w:r>
          </w:p>
        </w:tc>
        <w:tc>
          <w:tcPr>
            <w:tcW w:w="9944" w:type="dxa"/>
            <w:tcBorders/>
          </w:tcPr>
          <w:p>
            <w:pPr>
              <w:pStyle w:val="Body"/>
              <w:widowControl/>
              <w:bidi w:val="0"/>
              <w:spacing w:lineRule="auto" w:line="288" w:before="0" w:after="140"/>
              <w:jc w:val="both"/>
              <w:rPr/>
            </w:pPr>
            <w:r>
              <w:rPr/>
              <w:t>means a director, employee or agent of Counterparty that is authorised to sign documents on behalf of Enron.</w:t>
            </w:r>
          </w:p>
        </w:tc>
      </w:tr>
      <w:tr>
        <w:trPr/>
        <w:tc>
          <w:tcPr>
            <w:tcW w:w="3708" w:type="dxa"/>
            <w:tcBorders/>
          </w:tcPr>
          <w:p>
            <w:pPr>
              <w:pStyle w:val="Body"/>
              <w:widowControl/>
              <w:bidi w:val="0"/>
              <w:spacing w:lineRule="auto" w:line="288" w:before="0" w:after="140"/>
              <w:jc w:val="both"/>
              <w:rPr/>
            </w:pPr>
            <w:r>
              <w:rPr/>
              <w:t>[“Market Value”</w:t>
            </w:r>
          </w:p>
        </w:tc>
        <w:tc>
          <w:tcPr>
            <w:tcW w:w="9944" w:type="dxa"/>
            <w:tcBorders/>
          </w:tcPr>
          <w:p>
            <w:pPr>
              <w:pStyle w:val="Body"/>
              <w:widowControl/>
              <w:bidi w:val="0"/>
              <w:spacing w:lineRule="auto" w:line="288" w:before="0" w:after="140"/>
              <w:jc w:val="both"/>
              <w:rPr/>
            </w:pPr>
            <w:r>
              <w:rPr/>
              <w:t>means the mid-market value as computed by Counterparty by reference to traded prices available in the market.]</w:t>
            </w:r>
          </w:p>
        </w:tc>
      </w:tr>
      <w:tr>
        <w:trPr/>
        <w:tc>
          <w:tcPr>
            <w:tcW w:w="3708" w:type="dxa"/>
            <w:tcBorders/>
          </w:tcPr>
          <w:p>
            <w:pPr>
              <w:pStyle w:val="Body"/>
              <w:widowControl/>
              <w:bidi w:val="0"/>
              <w:spacing w:lineRule="auto" w:line="288" w:before="0" w:after="140"/>
              <w:jc w:val="both"/>
              <w:rPr/>
            </w:pPr>
            <w:r>
              <w:rPr/>
              <w:t>“</w:t>
            </w:r>
            <w:r>
              <w:rPr/>
              <w:t>Performance Date”</w:t>
            </w:r>
          </w:p>
        </w:tc>
        <w:tc>
          <w:tcPr>
            <w:tcW w:w="9944" w:type="dxa"/>
            <w:tcBorders/>
          </w:tcPr>
          <w:p>
            <w:pPr>
              <w:pStyle w:val="Body"/>
              <w:widowControl/>
              <w:bidi w:val="0"/>
              <w:spacing w:lineRule="auto" w:line="288" w:before="0" w:after="140"/>
              <w:jc w:val="both"/>
              <w:rPr/>
            </w:pPr>
            <w:r>
              <w:rPr/>
              <w:t>means the date specified under the column headed “Performance Date” in this Schedule.</w:t>
            </w:r>
          </w:p>
        </w:tc>
      </w:tr>
      <w:tr>
        <w:trPr/>
        <w:tc>
          <w:tcPr>
            <w:tcW w:w="3708" w:type="dxa"/>
            <w:tcBorders/>
          </w:tcPr>
          <w:p>
            <w:pPr>
              <w:pStyle w:val="Body"/>
              <w:widowControl/>
              <w:bidi w:val="0"/>
              <w:spacing w:lineRule="auto" w:line="288" w:before="0" w:after="140"/>
              <w:jc w:val="both"/>
              <w:rPr/>
            </w:pPr>
            <w:r>
              <w:rPr/>
              <w:t>[“Quarter”</w:t>
            </w:r>
          </w:p>
        </w:tc>
        <w:tc>
          <w:tcPr>
            <w:tcW w:w="9944" w:type="dxa"/>
            <w:tcBorders/>
          </w:tcPr>
          <w:p>
            <w:pPr>
              <w:pStyle w:val="Body"/>
              <w:widowControl/>
              <w:bidi w:val="0"/>
              <w:spacing w:lineRule="auto" w:line="288" w:before="0" w:after="140"/>
              <w:jc w:val="both"/>
              <w:rPr/>
            </w:pPr>
            <w:r>
              <w:rPr/>
              <w:t>means end of March, June, September and December in each year.]</w:t>
            </w:r>
          </w:p>
        </w:tc>
      </w:tr>
      <w:tr>
        <w:trPr/>
        <w:tc>
          <w:tcPr>
            <w:tcW w:w="3708" w:type="dxa"/>
            <w:tcBorders/>
          </w:tcPr>
          <w:p>
            <w:pPr>
              <w:pStyle w:val="Body"/>
              <w:widowControl/>
              <w:bidi w:val="0"/>
              <w:spacing w:lineRule="auto" w:line="288" w:before="0" w:after="140"/>
              <w:jc w:val="both"/>
              <w:rPr/>
            </w:pPr>
            <w:r>
              <w:rPr/>
              <w:t>“</w:t>
            </w:r>
            <w:r>
              <w:rPr/>
              <w:t>Product”</w:t>
            </w:r>
          </w:p>
        </w:tc>
        <w:tc>
          <w:tcPr>
            <w:tcW w:w="9944" w:type="dxa"/>
            <w:tcBorders/>
          </w:tcPr>
          <w:p>
            <w:pPr>
              <w:pStyle w:val="Body"/>
              <w:widowControl/>
              <w:bidi w:val="0"/>
              <w:spacing w:lineRule="auto" w:line="288" w:before="0" w:after="140"/>
              <w:jc w:val="both"/>
              <w:rPr/>
            </w:pPr>
            <w:r>
              <w:rPr/>
              <w:t>means the product specified under the column headed “Product” in this Schedule.</w:t>
            </w:r>
          </w:p>
        </w:tc>
      </w:tr>
      <w:tr>
        <w:trPr/>
        <w:tc>
          <w:tcPr>
            <w:tcW w:w="3708" w:type="dxa"/>
            <w:tcBorders/>
          </w:tcPr>
          <w:p>
            <w:pPr>
              <w:pStyle w:val="Body"/>
              <w:widowControl/>
              <w:bidi w:val="0"/>
              <w:spacing w:lineRule="auto" w:line="288" w:before="0" w:after="140"/>
              <w:jc w:val="both"/>
              <w:rPr/>
            </w:pPr>
            <w:r>
              <w:rPr/>
              <w:t>“</w:t>
            </w:r>
            <w:r>
              <w:rPr/>
              <w:t>Settlement Date”</w:t>
            </w:r>
          </w:p>
        </w:tc>
        <w:tc>
          <w:tcPr>
            <w:tcW w:w="9944" w:type="dxa"/>
            <w:tcBorders/>
          </w:tcPr>
          <w:p>
            <w:pPr>
              <w:pStyle w:val="Body"/>
              <w:widowControl/>
              <w:bidi w:val="0"/>
              <w:spacing w:lineRule="auto" w:line="288" w:before="0" w:after="140"/>
              <w:jc w:val="both"/>
              <w:rPr/>
            </w:pPr>
            <w:r>
              <w:rPr/>
              <w:t>means the date on which settlement is due to be made under the Confirmation unless otherwise specified in this Schedule.</w:t>
            </w:r>
          </w:p>
        </w:tc>
      </w:tr>
      <w:tr>
        <w:trPr/>
        <w:tc>
          <w:tcPr>
            <w:tcW w:w="3708" w:type="dxa"/>
            <w:tcBorders/>
          </w:tcPr>
          <w:p>
            <w:pPr>
              <w:pStyle w:val="Body"/>
              <w:widowControl/>
              <w:bidi w:val="0"/>
              <w:spacing w:lineRule="auto" w:line="288" w:before="0" w:after="140"/>
              <w:jc w:val="both"/>
              <w:rPr/>
            </w:pPr>
            <w:r>
              <w:rPr/>
              <w:t>[“Valuation Date”</w:t>
            </w:r>
          </w:p>
        </w:tc>
        <w:tc>
          <w:tcPr>
            <w:tcW w:w="9944" w:type="dxa"/>
            <w:tcBorders/>
          </w:tcPr>
          <w:p>
            <w:pPr>
              <w:pStyle w:val="Body"/>
              <w:widowControl/>
              <w:bidi w:val="0"/>
              <w:spacing w:lineRule="auto" w:line="288" w:before="0" w:after="140"/>
              <w:jc w:val="both"/>
              <w:rPr/>
            </w:pPr>
            <w:r>
              <w:rPr/>
              <w:t>means the relevant date specified under the heading “Performance Date” in this Schedule.]</w:t>
            </w:r>
          </w:p>
        </w:tc>
      </w:tr>
      <w:tr>
        <w:trPr/>
        <w:tc>
          <w:tcPr>
            <w:tcW w:w="3708" w:type="dxa"/>
            <w:tcBorders/>
          </w:tcPr>
          <w:p>
            <w:pPr>
              <w:pStyle w:val="Body"/>
              <w:snapToGrid w:val="false"/>
              <w:spacing w:before="0" w:after="140"/>
              <w:rPr/>
            </w:pPr>
            <w:r>
              <w:rPr/>
            </w:r>
          </w:p>
        </w:tc>
        <w:tc>
          <w:tcPr>
            <w:tcW w:w="9944" w:type="dxa"/>
            <w:tcBorders/>
          </w:tcPr>
          <w:p>
            <w:pPr>
              <w:pStyle w:val="Body"/>
              <w:snapToGrid w:val="false"/>
              <w:spacing w:before="0" w:after="140"/>
              <w:rPr/>
            </w:pPr>
            <w:r>
              <w:rPr/>
            </w:r>
          </w:p>
        </w:tc>
      </w:tr>
    </w:tbl>
    <w:p>
      <w:pPr>
        <w:pStyle w:val="Body"/>
        <w:spacing w:before="0" w:after="140"/>
        <w:jc w:val="center"/>
        <w:rPr/>
      </w:pPr>
      <w:r>
        <w:rPr/>
      </w:r>
    </w:p>
    <w:sectPr>
      <w:footerReference w:type="default" r:id="rId3"/>
      <w:footerReference w:type="first" r:id="rId4"/>
      <w:type w:val="nextPage"/>
      <w:pgSz w:orient="landscape" w:w="16838" w:h="11906"/>
      <w:pgMar w:left="1701" w:right="1701" w:gutter="0" w:header="0" w:top="1418" w:footer="454"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4" w:space="1" w:color="000000"/>
      </w:pBdr>
      <w:rPr>
        <w:sz w:val="16"/>
      </w:rPr>
    </w:pPr>
    <w:r>
      <w:rPr>
        <w:sz w:val="16"/>
      </w:rPr>
    </w:r>
  </w:p>
  <w:p>
    <w:pPr>
      <w:pStyle w:val="Normal"/>
      <w:pBdr>
        <w:top w:val="single" w:sz="4" w:space="1" w:color="000000"/>
      </w:pBdr>
      <w:rPr>
        <w:sz w:val="16"/>
      </w:rPr>
    </w:pPr>
    <w:r>
      <w:rPr>
        <w:sz w:val="16"/>
      </w:rPr>
    </w:r>
  </w:p>
  <w:p>
    <w:pPr>
      <w:pStyle w:val="Normal"/>
      <w:jc w:val="center"/>
      <w:rPr/>
    </w:pPr>
    <w:r>
      <w:rPr/>
      <w:t xml:space="preserve">- </w:t>
    </w:r>
    <w:r>
      <w:rPr/>
      <w:fldChar w:fldCharType="begin"/>
    </w:r>
    <w:r>
      <w:rPr/>
      <w:instrText xml:space="preserve"> PAGE </w:instrText>
    </w:r>
    <w:r>
      <w:rPr/>
      <w:fldChar w:fldCharType="separate"/>
    </w:r>
    <w:r>
      <w:rPr/>
      <w:t>8</w:t>
    </w:r>
    <w:r>
      <w:rPr/>
      <w:fldChar w:fldCharType="end"/>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4" w:space="1" w:color="000000"/>
      </w:pBdr>
      <w:rPr>
        <w:sz w:val="16"/>
      </w:rPr>
    </w:pPr>
    <w:r>
      <w:rPr>
        <w:sz w:val="16"/>
      </w:rPr>
    </w:r>
  </w:p>
  <w:p>
    <w:pPr>
      <w:pStyle w:val="Normal"/>
      <w:jc w:val="center"/>
      <w:rPr/>
    </w:pPr>
    <w:r>
      <w:rPr/>
      <w:t xml:space="preserve">- </w:t>
    </w:r>
    <w:r>
      <w:rPr/>
      <w:fldChar w:fldCharType="begin"/>
    </w:r>
    <w:r>
      <w:rPr/>
      <w:instrText xml:space="preserve"> PAGE </w:instrText>
    </w:r>
    <w:r>
      <w:rPr/>
      <w:fldChar w:fldCharType="separate"/>
    </w:r>
    <w:r>
      <w:rPr/>
      <w:t>11</w:t>
    </w:r>
    <w:r>
      <w:rPr/>
      <w:fldChar w:fldCharType="end"/>
    </w:r>
    <w: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368"/>
        </w:tabs>
        <w:ind w:start="1361" w:hanging="681"/>
      </w:pPr>
      <w:rPr>
        <w:sz w:val="20"/>
        <w:i w:val="false"/>
        <w:b w:val="false"/>
        <w:rFonts w:ascii="Arial" w:hAnsi="Arial" w:cs="Arial"/>
      </w:rPr>
    </w:lvl>
  </w:abstractNum>
  <w:abstractNum w:abstractNumId="3">
    <w:lvl w:ilvl="0">
      <w:start w:val="1"/>
      <w:numFmt w:val="lowerRoman"/>
      <w:lvlText w:val="(%1)"/>
      <w:lvlJc w:val="start"/>
      <w:pPr>
        <w:tabs>
          <w:tab w:val="num" w:pos="3969"/>
        </w:tabs>
        <w:ind w:start="3969" w:hanging="680"/>
      </w:pPr>
      <w:rPr/>
    </w:lvl>
  </w:abstractNum>
  <w:abstractNum w:abstractNumId="4">
    <w:lvl w:ilvl="0">
      <w:start w:val="1"/>
      <w:numFmt w:val="lowerRoman"/>
      <w:lvlText w:val="(%1)"/>
      <w:lvlJc w:val="start"/>
      <w:pPr>
        <w:tabs>
          <w:tab w:val="num" w:pos="2041"/>
        </w:tabs>
        <w:ind w:start="2041" w:hanging="680"/>
      </w:pPr>
    </w:lvl>
  </w:abstractNum>
  <w:abstractNum w:abstractNumId="5">
    <w:lvl w:ilvl="0">
      <w:start w:val="1"/>
      <w:numFmt w:val="lowerRoman"/>
      <w:lvlText w:val="(%1)"/>
      <w:lvlJc w:val="start"/>
      <w:pPr>
        <w:tabs>
          <w:tab w:val="num" w:pos="2722"/>
        </w:tabs>
        <w:ind w:start="2722" w:hanging="681"/>
      </w:pPr>
      <w:rPr/>
    </w:lvl>
  </w:abstractNum>
  <w:abstractNum w:abstractNumId="6">
    <w:lvl w:ilvl="0">
      <w:start w:val="1"/>
      <w:numFmt w:val="lowerRoman"/>
      <w:lvlText w:val="(%1)"/>
      <w:lvlJc w:val="start"/>
      <w:pPr>
        <w:tabs>
          <w:tab w:val="num" w:pos="1361"/>
        </w:tabs>
        <w:ind w:start="1361" w:hanging="681"/>
      </w:pPr>
    </w:lvl>
  </w:abstractNum>
  <w:abstractNum w:abstractNumId="7">
    <w:lvl w:ilvl="0">
      <w:start w:val="1"/>
      <w:numFmt w:val="bullet"/>
      <w:lvlText w:val=""/>
      <w:lvlJc w:val="start"/>
      <w:pPr>
        <w:tabs>
          <w:tab w:val="num" w:pos="2608"/>
        </w:tabs>
        <w:ind w:start="2608" w:hanging="567"/>
      </w:pPr>
      <w:rPr>
        <w:rFonts w:ascii="Symbol" w:hAnsi="Symbol" w:cs="Symbol" w:hint="default"/>
      </w:rPr>
    </w:lvl>
  </w:abstractNum>
  <w:abstractNum w:abstractNumId="8">
    <w:lvl w:ilvl="0">
      <w:start w:val="2"/>
      <w:numFmt w:val="decimal"/>
      <w:lvlText w:val="ARTICLE %1"/>
      <w:lvlJc w:val="start"/>
      <w:pPr>
        <w:tabs>
          <w:tab w:val="num" w:pos="1418"/>
        </w:tabs>
        <w:ind w:start="1418" w:hanging="1418"/>
      </w:pPr>
      <w:rPr>
        <w:i w:val="false"/>
        <w:b/>
      </w:rPr>
    </w:lvl>
    <w:lvl w:ilvl="1">
      <w:start w:val="1"/>
      <w:numFmt w:val="decimal"/>
      <w:lvlText w:val="%1.%2"/>
      <w:lvlJc w:val="start"/>
      <w:pPr>
        <w:tabs>
          <w:tab w:val="num" w:pos="851"/>
        </w:tabs>
        <w:ind w:start="851" w:hanging="851"/>
      </w:pPr>
      <w:rPr>
        <w:i w:val="false"/>
        <w:b/>
      </w:rPr>
    </w:lvl>
    <w:lvl w:ilvl="2">
      <w:start w:val="1"/>
      <w:numFmt w:val="decimal"/>
      <w:lvlText w:val="%1.%2.%3"/>
      <w:lvlJc w:val="start"/>
      <w:pPr>
        <w:tabs>
          <w:tab w:val="num" w:pos="851"/>
        </w:tabs>
        <w:ind w:start="851" w:hanging="851"/>
      </w:pPr>
    </w:lvl>
    <w:lvl w:ilvl="3">
      <w:start w:val="1"/>
      <w:numFmt w:val="none"/>
      <w:suff w:val="nothing"/>
      <w:lvlText w:val=""/>
      <w:lvlJc w:val="start"/>
      <w:pPr>
        <w:tabs>
          <w:tab w:val="num" w:pos="360"/>
        </w:tabs>
        <w:ind w:start="32767" w:firstLine="32767"/>
      </w:pPr>
    </w:lvl>
    <w:lvl w:ilvl="4">
      <w:start w:val="1"/>
      <w:numFmt w:val="none"/>
      <w:suff w:val="nothing"/>
      <w:lvlText w:val=""/>
      <w:lvlJc w:val="start"/>
      <w:pPr>
        <w:ind w:start="32767" w:hanging="0"/>
      </w:pPr>
    </w:lvl>
    <w:lvl w:ilvl="5">
      <w:start w:val="1"/>
      <w:numFmt w:val="none"/>
      <w:suff w:val="nothing"/>
      <w:lvlText w:val=""/>
      <w:lvlJc w:val="start"/>
      <w:pPr>
        <w:ind w:start="32767" w:hanging="0"/>
      </w:pPr>
    </w:lvl>
    <w:lvl w:ilvl="6">
      <w:start w:val="1"/>
      <w:numFmt w:val="none"/>
      <w:suff w:val="nothing"/>
      <w:lvlText w:val="%1"/>
      <w:lvlJc w:val="start"/>
      <w:pPr>
        <w:ind w:start="32767" w:hanging="0"/>
      </w:pPr>
    </w:lvl>
    <w:lvl w:ilvl="7">
      <w:start w:val="1"/>
      <w:numFmt w:val="none"/>
      <w:suff w:val="nothing"/>
      <w:lvlText w:val=""/>
      <w:lvlJc w:val="start"/>
      <w:pPr>
        <w:tabs>
          <w:tab w:val="num" w:pos="360"/>
        </w:tabs>
        <w:ind w:start="32767" w:firstLine="32767"/>
      </w:pPr>
    </w:lvl>
    <w:lvl w:ilvl="8">
      <w:start w:val="1"/>
      <w:numFmt w:val="none"/>
      <w:suff w:val="nothing"/>
      <w:lvlText w:val=""/>
      <w:lvlJc w:val="start"/>
      <w:pPr>
        <w:ind w:start="32767" w:hanging="0"/>
      </w:pPr>
    </w:lvl>
  </w:abstractNum>
  <w:abstractNum w:abstractNumId="9">
    <w:lvl w:ilvl="0">
      <w:start w:val="1"/>
      <w:numFmt w:val="decimal"/>
      <w:lvlText w:val="(%1)"/>
      <w:lvlJc w:val="start"/>
      <w:pPr>
        <w:tabs>
          <w:tab w:val="num" w:pos="680"/>
        </w:tabs>
        <w:ind w:start="680" w:hanging="680"/>
      </w:pPr>
      <w:rPr>
        <w:sz w:val="20"/>
        <w:i w:val="false"/>
        <w:b/>
      </w:rPr>
    </w:lvl>
  </w:abstractNum>
  <w:abstractNum w:abstractNumId="10">
    <w:lvl w:ilvl="0">
      <w:start w:val="1"/>
      <w:numFmt w:val="lowerRoman"/>
      <w:lvlText w:val="(%1)"/>
      <w:lvlJc w:val="start"/>
      <w:pPr>
        <w:tabs>
          <w:tab w:val="num" w:pos="3442"/>
        </w:tabs>
        <w:ind w:start="3289" w:hanging="567"/>
      </w:pPr>
      <w:rPr/>
    </w:lvl>
  </w:abstractNum>
  <w:abstractNum w:abstractNumId="11">
    <w:lvl w:ilvl="0">
      <w:start w:val="1"/>
      <w:numFmt w:val="bullet"/>
      <w:lvlText w:val=""/>
      <w:lvlJc w:val="start"/>
      <w:pPr>
        <w:tabs>
          <w:tab w:val="num" w:pos="3289"/>
        </w:tabs>
        <w:ind w:start="3289" w:hanging="681"/>
      </w:pPr>
      <w:rPr>
        <w:rFonts w:ascii="Symbol" w:hAnsi="Symbol" w:cs="Symbol" w:hint="default"/>
      </w:rPr>
    </w:lvl>
  </w:abstractNum>
  <w:abstractNum w:abstractNumId="12">
    <w:lvl w:ilvl="0">
      <w:start w:val="1"/>
      <w:numFmt w:val="lowerLetter"/>
      <w:lvlText w:val="(%1)"/>
      <w:lvlJc w:val="start"/>
      <w:pPr>
        <w:tabs>
          <w:tab w:val="num" w:pos="2041"/>
        </w:tabs>
        <w:ind w:start="2041" w:hanging="680"/>
      </w:pPr>
    </w:lvl>
  </w:abstractNum>
  <w:abstractNum w:abstractNumId="13">
    <w:lvl w:ilvl="0">
      <w:start w:val="1"/>
      <w:numFmt w:val="lowerLetter"/>
      <w:lvlText w:val="(%1)"/>
      <w:lvlJc w:val="start"/>
      <w:pPr>
        <w:tabs>
          <w:tab w:val="num" w:pos="3289"/>
        </w:tabs>
        <w:ind w:start="3289" w:hanging="681"/>
      </w:pPr>
    </w:lvl>
  </w:abstractNum>
  <w:abstractNum w:abstractNumId="14">
    <w:lvl w:ilvl="0">
      <w:start w:val="1"/>
      <w:numFmt w:val="decimal"/>
      <w:lvlText w:val="%1"/>
      <w:lvlJc w:val="start"/>
      <w:pPr>
        <w:tabs>
          <w:tab w:val="num" w:pos="680"/>
        </w:tabs>
        <w:ind w:start="680" w:hanging="680"/>
      </w:pPr>
      <w:rPr>
        <w:sz w:val="21"/>
        <w:i w:val="false"/>
        <w:b/>
        <w:rFonts w:ascii="Arial" w:hAnsi="Arial" w:cs="Arial"/>
      </w:rPr>
    </w:lvl>
    <w:lvl w:ilvl="1">
      <w:start w:val="1"/>
      <w:numFmt w:val="decimal"/>
      <w:lvlText w:val="%1.%2"/>
      <w:lvlJc w:val="start"/>
      <w:pPr>
        <w:tabs>
          <w:tab w:val="num" w:pos="680"/>
        </w:tabs>
        <w:ind w:start="680" w:hanging="680"/>
      </w:pPr>
      <w:rPr>
        <w:sz w:val="20"/>
        <w:i w:val="false"/>
        <w:b/>
        <w:rFonts w:ascii="Arial" w:hAnsi="Arial" w:cs="Arial"/>
      </w:rPr>
    </w:lvl>
    <w:lvl w:ilvl="2">
      <w:start w:val="1"/>
      <w:numFmt w:val="decimal"/>
      <w:lvlText w:val="%1.%2.%3"/>
      <w:lvlJc w:val="start"/>
      <w:pPr>
        <w:tabs>
          <w:tab w:val="num" w:pos="1361"/>
        </w:tabs>
        <w:ind w:start="1361" w:hanging="681"/>
      </w:pPr>
      <w:rPr>
        <w:sz w:val="17"/>
        <w:i w:val="false"/>
        <w:b/>
      </w:rPr>
    </w:lvl>
    <w:lvl w:ilvl="3">
      <w:start w:val="1"/>
      <w:numFmt w:val="lowerRoman"/>
      <w:lvlText w:val="(%4)"/>
      <w:lvlJc w:val="start"/>
      <w:pPr>
        <w:tabs>
          <w:tab w:val="num" w:pos="2041"/>
        </w:tabs>
        <w:ind w:start="2041" w:hanging="680"/>
      </w:pPr>
    </w:lvl>
    <w:lvl w:ilvl="4">
      <w:start w:val="1"/>
      <w:numFmt w:val="lowerLetter"/>
      <w:lvlText w:val="(%5)"/>
      <w:lvlJc w:val="start"/>
      <w:pPr>
        <w:tabs>
          <w:tab w:val="num" w:pos="2608"/>
        </w:tabs>
        <w:ind w:start="2608" w:hanging="567"/>
      </w:pPr>
    </w:lvl>
    <w:lvl w:ilvl="5">
      <w:start w:val="1"/>
      <w:numFmt w:val="upperRoman"/>
      <w:lvlText w:val="(%6)"/>
      <w:lvlJc w:val="start"/>
      <w:pPr>
        <w:tabs>
          <w:tab w:val="num" w:pos="3289"/>
        </w:tabs>
        <w:ind w:start="3289" w:hanging="681"/>
      </w:pPr>
    </w:lvl>
    <w:lvl w:ilvl="6">
      <w:start w:val="1"/>
      <w:numFmt w:val="none"/>
      <w:suff w:val="nothing"/>
      <w:lvlText w:val=""/>
      <w:lvlJc w:val="start"/>
      <w:pPr>
        <w:tabs>
          <w:tab w:val="num" w:pos="3240"/>
        </w:tabs>
        <w:ind w:start="3240" w:hanging="1080"/>
      </w:pPr>
    </w:lvl>
    <w:lvl w:ilvl="7">
      <w:start w:val="1"/>
      <w:numFmt w:val="none"/>
      <w:suff w:val="nothing"/>
      <w:lvlText w:val=""/>
      <w:lvlJc w:val="start"/>
      <w:pPr>
        <w:tabs>
          <w:tab w:val="num" w:pos="3744"/>
        </w:tabs>
        <w:ind w:start="3744" w:hanging="1224"/>
      </w:pPr>
    </w:lvl>
    <w:lvl w:ilvl="8">
      <w:start w:val="1"/>
      <w:numFmt w:val="none"/>
      <w:suff w:val="nothing"/>
      <w:lvlText w:val=""/>
      <w:lvlJc w:val="start"/>
      <w:pPr>
        <w:tabs>
          <w:tab w:val="num" w:pos="4320"/>
        </w:tabs>
        <w:ind w:start="4320" w:hanging="1440"/>
      </w:pPr>
    </w:lvl>
  </w:abstractNum>
  <w:abstractNum w:abstractNumId="15">
    <w:lvl w:ilvl="0">
      <w:start w:val="1"/>
      <w:numFmt w:val="upperLetter"/>
      <w:lvlText w:val="(%1)"/>
      <w:lvlJc w:val="start"/>
      <w:pPr>
        <w:tabs>
          <w:tab w:val="num" w:pos="680"/>
        </w:tabs>
        <w:ind w:start="680" w:hanging="680"/>
      </w:pPr>
      <w:rPr>
        <w:sz w:val="20"/>
        <w:i w:val="false"/>
        <w:b w:val="false"/>
        <w:rFonts w:ascii="Arial" w:hAnsi="Arial" w:cs="Arial"/>
      </w:rPr>
    </w:lvl>
  </w:abstractNum>
  <w:abstractNum w:abstractNumId="16">
    <w:lvl w:ilvl="0">
      <w:start w:val="1"/>
      <w:numFmt w:val="bullet"/>
      <w:lvlText w:val=""/>
      <w:lvlJc w:val="start"/>
      <w:pPr>
        <w:tabs>
          <w:tab w:val="num" w:pos="1361"/>
        </w:tabs>
        <w:ind w:start="1361" w:hanging="681"/>
      </w:pPr>
      <w:rPr>
        <w:rFonts w:ascii="Symbol" w:hAnsi="Symbol" w:cs="Symbol" w:hint="default"/>
      </w:rPr>
    </w:lvl>
  </w:abstractNum>
  <w:abstractNum w:abstractNumId="17">
    <w:lvl w:ilvl="0">
      <w:start w:val="1"/>
      <w:numFmt w:val="lowerLetter"/>
      <w:lvlText w:val="(%1)"/>
      <w:lvlJc w:val="start"/>
      <w:pPr>
        <w:tabs>
          <w:tab w:val="num" w:pos="680"/>
        </w:tabs>
        <w:ind w:start="680" w:hanging="680"/>
      </w:pPr>
    </w:lvl>
  </w:abstractNum>
  <w:abstractNum w:abstractNumId="18">
    <w:lvl w:ilvl="0">
      <w:start w:val="1"/>
      <w:numFmt w:val="bullet"/>
      <w:lvlText w:val=""/>
      <w:lvlJc w:val="start"/>
      <w:pPr>
        <w:tabs>
          <w:tab w:val="num" w:pos="680"/>
        </w:tabs>
        <w:ind w:start="680" w:hanging="680"/>
      </w:pPr>
      <w:rPr>
        <w:rFonts w:ascii="Symbol" w:hAnsi="Symbol" w:cs="Symbol" w:hint="default"/>
      </w:rPr>
    </w:lvl>
  </w:abstractNum>
  <w:abstractNum w:abstractNumId="19">
    <w:lvl w:ilvl="0">
      <w:start w:val="1"/>
      <w:numFmt w:val="lowerRoman"/>
      <w:lvlText w:val="(%1)"/>
      <w:lvlJc w:val="start"/>
      <w:pPr>
        <w:tabs>
          <w:tab w:val="num" w:pos="680"/>
        </w:tabs>
        <w:ind w:start="680" w:hanging="680"/>
      </w:pPr>
    </w:lvl>
  </w:abstractNum>
  <w:abstractNum w:abstractNumId="20">
    <w:lvl w:ilvl="0">
      <w:start w:val="1"/>
      <w:numFmt w:val="decimal"/>
      <w:lvlText w:val="ARTICLE %1er"/>
      <w:lvlJc w:val="start"/>
      <w:pPr>
        <w:tabs>
          <w:tab w:val="num" w:pos="1418"/>
        </w:tabs>
        <w:ind w:start="1418" w:hanging="1418"/>
      </w:pPr>
      <w:rPr>
        <w:i w:val="false"/>
        <w:b/>
      </w:rPr>
    </w:lvl>
    <w:lvl w:ilvl="1">
      <w:start w:val="1"/>
      <w:numFmt w:val="decimal"/>
      <w:lvlText w:val="%1.%2"/>
      <w:lvlJc w:val="start"/>
      <w:pPr>
        <w:tabs>
          <w:tab w:val="num" w:pos="851"/>
        </w:tabs>
        <w:ind w:start="851" w:hanging="851"/>
      </w:pPr>
      <w:rPr>
        <w:i w:val="false"/>
        <w:b/>
      </w:rPr>
    </w:lvl>
    <w:lvl w:ilvl="2">
      <w:start w:val="1"/>
      <w:numFmt w:val="decimal"/>
      <w:lvlText w:val="%1.%2.%3"/>
      <w:lvlJc w:val="start"/>
      <w:pPr>
        <w:tabs>
          <w:tab w:val="num" w:pos="851"/>
        </w:tabs>
        <w:ind w:start="851" w:hanging="851"/>
      </w:pPr>
    </w:lvl>
    <w:lvl w:ilvl="3">
      <w:start w:val="1"/>
      <w:numFmt w:val="none"/>
      <w:suff w:val="nothing"/>
      <w:lvlText w:val=""/>
      <w:lvlJc w:val="start"/>
      <w:pPr>
        <w:ind w:start="32767" w:hanging="0"/>
      </w:pPr>
    </w:lvl>
    <w:lvl w:ilvl="4">
      <w:start w:val="1"/>
      <w:numFmt w:val="none"/>
      <w:suff w:val="nothing"/>
      <w:lvlText w:val=""/>
      <w:lvlJc w:val="start"/>
      <w:pPr>
        <w:ind w:start="32767" w:hanging="0"/>
      </w:pPr>
    </w:lvl>
    <w:lvl w:ilvl="5">
      <w:start w:val="1"/>
      <w:numFmt w:val="none"/>
      <w:suff w:val="nothing"/>
      <w:lvlText w:val=""/>
      <w:lvlJc w:val="start"/>
      <w:pPr>
        <w:ind w:start="32767" w:hanging="0"/>
      </w:pPr>
    </w:lvl>
    <w:lvl w:ilvl="6">
      <w:start w:val="1"/>
      <w:numFmt w:val="none"/>
      <w:suff w:val="nothing"/>
      <w:lvlText w:val=""/>
      <w:lvlJc w:val="start"/>
      <w:pPr>
        <w:tabs>
          <w:tab w:val="num" w:pos="360"/>
        </w:tabs>
        <w:ind w:start="32767" w:firstLine="32767"/>
      </w:pPr>
    </w:lvl>
    <w:lvl w:ilvl="7">
      <w:start w:val="1"/>
      <w:numFmt w:val="none"/>
      <w:suff w:val="nothing"/>
      <w:lvlText w:val=""/>
      <w:lvlJc w:val="start"/>
      <w:pPr>
        <w:ind w:start="32767" w:hanging="0"/>
      </w:pPr>
    </w:lvl>
    <w:lvl w:ilvl="8">
      <w:start w:val="1"/>
      <w:numFmt w:val="none"/>
      <w:suff w:val="nothing"/>
      <w:lvlText w:val=""/>
      <w:lvlJc w:val="start"/>
      <w:pPr>
        <w:ind w:start="32767" w:hanging="0"/>
      </w:pPr>
    </w:lvl>
  </w:abstractNum>
  <w:abstractNum w:abstractNumId="21">
    <w:lvl w:ilvl="0">
      <w:start w:val="1"/>
      <w:numFmt w:val="lowerLetter"/>
      <w:lvlText w:val="(%1)"/>
      <w:lvlJc w:val="start"/>
      <w:pPr>
        <w:tabs>
          <w:tab w:val="num" w:pos="3969"/>
        </w:tabs>
        <w:ind w:start="3969" w:hanging="680"/>
      </w:pPr>
    </w:lvl>
  </w:abstractNum>
  <w:abstractNum w:abstractNumId="22">
    <w:lvl w:ilvl="0">
      <w:start w:val="1"/>
      <w:numFmt w:val="lowerLetter"/>
      <w:lvlText w:val="(%1)"/>
      <w:lvlJc w:val="start"/>
      <w:pPr>
        <w:tabs>
          <w:tab w:val="num" w:pos="2608"/>
        </w:tabs>
        <w:ind w:start="2608" w:hanging="567"/>
      </w:pPr>
    </w:lvl>
  </w:abstractNum>
  <w:abstractNum w:abstractNumId="23">
    <w:lvl w:ilvl="0">
      <w:start w:val="1"/>
      <w:numFmt w:val="decimal"/>
      <w:lvlText w:val="%1"/>
      <w:lvlJc w:val="start"/>
      <w:pPr>
        <w:tabs>
          <w:tab w:val="num" w:pos="680"/>
        </w:tabs>
        <w:ind w:start="680" w:hanging="680"/>
      </w:pPr>
      <w:rPr>
        <w:i w:val="false"/>
        <w:b/>
      </w:rPr>
    </w:lvl>
    <w:lvl w:ilvl="1">
      <w:start w:val="1"/>
      <w:numFmt w:val="lowerLetter"/>
      <w:lvlText w:val="(%2)"/>
      <w:lvlJc w:val="start"/>
      <w:pPr>
        <w:tabs>
          <w:tab w:val="num" w:pos="1361"/>
        </w:tabs>
        <w:ind w:start="1361" w:hanging="681"/>
      </w:pPr>
      <w:rPr/>
    </w:lvl>
    <w:lvl w:ilvl="2">
      <w:start w:val="1"/>
      <w:numFmt w:val="lowerRoman"/>
      <w:lvlText w:val="(%3)"/>
      <w:lvlJc w:val="start"/>
      <w:pPr>
        <w:tabs>
          <w:tab w:val="num" w:pos="2041"/>
        </w:tabs>
        <w:ind w:start="2041" w:hanging="680"/>
      </w:pPr>
      <w:rPr/>
    </w:lvl>
    <w:lvl w:ilvl="3">
      <w:start w:val="1"/>
      <w:numFmt w:val="upperLetter"/>
      <w:lvlText w:val="(%4)"/>
      <w:lvlJc w:val="start"/>
      <w:pPr>
        <w:tabs>
          <w:tab w:val="num" w:pos="2608"/>
        </w:tabs>
        <w:ind w:start="2608" w:hanging="567"/>
      </w:pPr>
      <w:rPr/>
    </w:lvl>
    <w:lvl w:ilvl="4">
      <w:start w:val="1"/>
      <w:numFmt w:val="bullet"/>
      <w:lvlText w:val=""/>
      <w:lvlJc w:val="start"/>
      <w:pPr>
        <w:tabs>
          <w:tab w:val="num" w:pos="1800"/>
        </w:tabs>
        <w:ind w:start="1800" w:hanging="360"/>
      </w:pPr>
      <w:rPr>
        <w:rFonts w:ascii="Symbol" w:hAnsi="Symbol" w:cs="Symbol" w:hint="default"/>
      </w:rPr>
    </w:lvl>
    <w:lvl w:ilvl="5">
      <w:start w:val="1"/>
      <w:numFmt w:val="bullet"/>
      <w:lvlText w:val=""/>
      <w:lvlJc w:val="start"/>
      <w:pPr>
        <w:tabs>
          <w:tab w:val="num" w:pos="2160"/>
        </w:tabs>
        <w:ind w:start="2160" w:hanging="360"/>
      </w:pPr>
      <w:rPr>
        <w:rFonts w:ascii="Wingdings" w:hAnsi="Wingdings" w:cs="Wingdings" w:hint="default"/>
      </w:rPr>
    </w:lvl>
    <w:lvl w:ilvl="6">
      <w:start w:val="1"/>
      <w:numFmt w:val="bullet"/>
      <w:lvlText w:val=""/>
      <w:lvlJc w:val="start"/>
      <w:pPr>
        <w:tabs>
          <w:tab w:val="num" w:pos="2520"/>
        </w:tabs>
        <w:ind w:start="2520" w:hanging="360"/>
      </w:pPr>
      <w:rPr>
        <w:rFonts w:ascii="Wingdings" w:hAnsi="Wingdings" w:cs="Wingdings" w:hint="default"/>
      </w:rPr>
    </w:lvl>
    <w:lvl w:ilvl="7">
      <w:start w:val="1"/>
      <w:numFmt w:val="bullet"/>
      <w:lvlText w:val=""/>
      <w:lvlJc w:val="start"/>
      <w:pPr>
        <w:tabs>
          <w:tab w:val="num" w:pos="2880"/>
        </w:tabs>
        <w:ind w:start="2880" w:hanging="360"/>
      </w:pPr>
      <w:rPr>
        <w:rFonts w:ascii="Symbol" w:hAnsi="Symbol" w:cs="Symbol" w:hint="default"/>
      </w:rPr>
    </w:lvl>
    <w:lvl w:ilvl="8">
      <w:start w:val="1"/>
      <w:numFmt w:val="bullet"/>
      <w:lvlText w:val=""/>
      <w:lvlJc w:val="start"/>
      <w:pPr>
        <w:tabs>
          <w:tab w:val="num" w:pos="3240"/>
        </w:tabs>
        <w:ind w:start="3240" w:hanging="360"/>
      </w:pPr>
      <w:rPr>
        <w:rFonts w:ascii="Symbol" w:hAnsi="Symbol" w:cs="Symbol" w:hint="default"/>
      </w:rPr>
    </w:lvl>
  </w:abstractNum>
  <w:abstractNum w:abstractNumId="24">
    <w:lvl w:ilvl="0">
      <w:start w:val="1"/>
      <w:numFmt w:val="decimal"/>
      <w:lvlText w:val="%1"/>
      <w:lvlJc w:val="start"/>
      <w:pPr>
        <w:tabs>
          <w:tab w:val="num" w:pos="680"/>
        </w:tabs>
        <w:ind w:start="680" w:hanging="680"/>
      </w:pPr>
      <w:rPr>
        <w:sz w:val="21"/>
        <w:i w:val="false"/>
        <w:b/>
        <w:rFonts w:ascii="Arial" w:hAnsi="Arial" w:cs="Arial"/>
      </w:rPr>
    </w:lvl>
    <w:lvl w:ilvl="1">
      <w:start w:val="1"/>
      <w:numFmt w:val="decimal"/>
      <w:lvlText w:val="%1.%2"/>
      <w:lvlJc w:val="start"/>
      <w:pPr>
        <w:tabs>
          <w:tab w:val="num" w:pos="680"/>
        </w:tabs>
        <w:ind w:start="680" w:hanging="680"/>
      </w:pPr>
      <w:rPr>
        <w:sz w:val="20"/>
        <w:i w:val="false"/>
        <w:b/>
        <w:rFonts w:ascii="Arial" w:hAnsi="Arial" w:cs="Arial"/>
      </w:rPr>
    </w:lvl>
    <w:lvl w:ilvl="2">
      <w:start w:val="1"/>
      <w:numFmt w:val="decimal"/>
      <w:lvlText w:val="%1.%2.%3"/>
      <w:lvlJc w:val="start"/>
      <w:pPr>
        <w:tabs>
          <w:tab w:val="num" w:pos="1361"/>
        </w:tabs>
        <w:ind w:start="1361" w:hanging="681"/>
      </w:pPr>
      <w:rPr>
        <w:sz w:val="17"/>
        <w:i w:val="false"/>
        <w:b/>
        <w:rFonts w:ascii="Arial" w:hAnsi="Arial" w:cs="Arial"/>
      </w:rPr>
    </w:lvl>
    <w:lvl w:ilvl="3">
      <w:start w:val="1"/>
      <w:numFmt w:val="lowerRoman"/>
      <w:lvlText w:val="(%4)"/>
      <w:lvlJc w:val="start"/>
      <w:pPr>
        <w:tabs>
          <w:tab w:val="num" w:pos="2041"/>
        </w:tabs>
        <w:ind w:start="2041" w:hanging="680"/>
      </w:pPr>
      <w:rPr>
        <w:sz w:val="20"/>
        <w:i w:val="false"/>
        <w:b w:val="false"/>
        <w:rFonts w:ascii="Arial" w:hAnsi="Arial" w:cs="Arial"/>
      </w:rPr>
    </w:lvl>
    <w:lvl w:ilvl="4">
      <w:start w:val="1"/>
      <w:numFmt w:val="lowerLetter"/>
      <w:lvlText w:val="(%5)"/>
      <w:lvlJc w:val="start"/>
      <w:pPr>
        <w:tabs>
          <w:tab w:val="num" w:pos="2608"/>
        </w:tabs>
        <w:ind w:start="2608" w:hanging="567"/>
      </w:pPr>
      <w:rPr>
        <w:sz w:val="20"/>
        <w:i w:val="false"/>
        <w:b w:val="false"/>
        <w:rFonts w:ascii="Arial" w:hAnsi="Arial" w:cs="Arial"/>
      </w:rPr>
    </w:lvl>
    <w:lvl w:ilvl="5">
      <w:start w:val="1"/>
      <w:numFmt w:val="upperRoman"/>
      <w:lvlText w:val="(%6)"/>
      <w:lvlJc w:val="start"/>
      <w:pPr>
        <w:tabs>
          <w:tab w:val="num" w:pos="3289"/>
        </w:tabs>
        <w:ind w:start="3289" w:hanging="681"/>
      </w:pPr>
      <w:rPr>
        <w:sz w:val="20"/>
        <w:i w:val="false"/>
        <w:b w:val="false"/>
        <w:rFonts w:ascii="Arial" w:hAnsi="Arial" w:cs="Arial"/>
      </w:rPr>
    </w:lvl>
    <w:lvl w:ilvl="6">
      <w:start w:val="1"/>
      <w:numFmt w:val="none"/>
      <w:suff w:val="nothing"/>
      <w:lvlText w:val=""/>
      <w:lvlJc w:val="start"/>
      <w:pPr>
        <w:tabs>
          <w:tab w:val="num" w:pos="3240"/>
        </w:tabs>
        <w:ind w:start="3240" w:hanging="1080"/>
      </w:pPr>
    </w:lvl>
    <w:lvl w:ilvl="7">
      <w:start w:val="1"/>
      <w:numFmt w:val="none"/>
      <w:suff w:val="nothing"/>
      <w:lvlText w:val=""/>
      <w:lvlJc w:val="start"/>
      <w:pPr>
        <w:tabs>
          <w:tab w:val="num" w:pos="3744"/>
        </w:tabs>
        <w:ind w:start="3744" w:hanging="1224"/>
      </w:pPr>
    </w:lvl>
    <w:lvl w:ilvl="8">
      <w:start w:val="1"/>
      <w:numFmt w:val="none"/>
      <w:suff w:val="nothing"/>
      <w:lvlText w:val=""/>
      <w:lvlJc w:val="start"/>
      <w:pPr>
        <w:tabs>
          <w:tab w:val="num" w:pos="4320"/>
        </w:tabs>
        <w:ind w:start="4320" w:hanging="1440"/>
      </w:pPr>
    </w:lvl>
  </w:abstractNum>
  <w:abstractNum w:abstractNumId="25">
    <w:lvl w:ilvl="0">
      <w:start w:val="1"/>
      <w:numFmt w:val="bullet"/>
      <w:lvlText w:val=""/>
      <w:lvlJc w:val="start"/>
      <w:pPr>
        <w:tabs>
          <w:tab w:val="num" w:pos="2041"/>
        </w:tabs>
        <w:ind w:start="2041" w:hanging="680"/>
      </w:pPr>
      <w:rPr>
        <w:rFonts w:ascii="Symbol" w:hAnsi="Symbol" w:cs="Symbol" w:hint="default"/>
      </w:rPr>
    </w:lvl>
  </w:abstractNum>
  <w:abstractNum w:abstractNumId="26">
    <w:lvl w:ilvl="0">
      <w:start w:val="1"/>
      <w:numFmt w:val="bullet"/>
      <w:lvlText w:val=""/>
      <w:lvlJc w:val="start"/>
      <w:pPr>
        <w:tabs>
          <w:tab w:val="num" w:pos="3856"/>
        </w:tabs>
        <w:ind w:start="3856" w:hanging="567"/>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
    <w:lvlOverride w:ilvl="0">
      <w:startOverride w:val="1"/>
    </w:lvlOverride>
  </w:num>
  <w:num w:numId="28">
    <w:abstractNumId w:val="2"/>
    <w:lvlOverride w:ilvl="0">
      <w:startOverride w:val="1"/>
    </w:lvlOverride>
  </w:num>
  <w:num w:numId="29">
    <w:abstractNumId w:val="2"/>
    <w:lvlOverride w:ilvl="0">
      <w:startOverride w:val="1"/>
    </w:lvlOverride>
  </w:num>
  <w:num w:numId="30">
    <w:abstractNumId w:val="2"/>
    <w:lvlOverride w:ilvl="0">
      <w:startOverride w:val="1"/>
    </w:lvlOverride>
  </w:num>
  <w:num w:numId="31">
    <w:abstractNumId w:val="2"/>
    <w:lvlOverride w:ilvl="0">
      <w:startOverride w:val="1"/>
    </w:lvlOverride>
  </w:num>
  <w:num w:numId="32">
    <w:abstractNumId w:val="2"/>
    <w:lvlOverride w:ilvl="0">
      <w:startOverride w:val="1"/>
    </w:lvlOverride>
  </w:num>
  <w:num w:numId="33">
    <w:abstractNumId w:val="4"/>
    <w:lvlOverride w:ilvl="0">
      <w:startOverride w:val="1"/>
    </w:lvlOverride>
  </w:num>
</w:numbering>
</file>

<file path=word/settings.xml><?xml version="1.0" encoding="utf-8"?>
<w:settings xmlns:w="http://schemas.openxmlformats.org/wordprocessingml/2006/main">
  <w:zoom w:percent="100"/>
  <w:defaultTabStop w:val="567"/>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288"/>
    </w:pPr>
    <w:rPr>
      <w:rFonts w:ascii="Arial" w:hAnsi="Arial" w:eastAsia="Times New Roman" w:cs="Arial"/>
      <w:color w:val="auto"/>
      <w:kern w:val="2"/>
      <w:sz w:val="20"/>
      <w:szCs w:val="20"/>
      <w:lang w:val="en-GB" w:bidi="ar-SA" w:eastAsia="zh-CN"/>
    </w:rPr>
  </w:style>
  <w:style w:type="paragraph" w:styleId="Heading1">
    <w:name w:val="heading 1"/>
    <w:basedOn w:val="Normal"/>
    <w:next w:val="Normal"/>
    <w:qFormat/>
    <w:pPr>
      <w:numPr>
        <w:ilvl w:val="0"/>
        <w:numId w:val="1"/>
      </w:numPr>
      <w:spacing w:lineRule="auto" w:line="240"/>
      <w:outlineLvl w:val="0"/>
    </w:pPr>
    <w:rPr/>
  </w:style>
  <w:style w:type="paragraph" w:styleId="Heading2">
    <w:name w:val="heading 2"/>
    <w:basedOn w:val="Normal"/>
    <w:next w:val="Normal"/>
    <w:qFormat/>
    <w:pPr>
      <w:numPr>
        <w:ilvl w:val="1"/>
        <w:numId w:val="1"/>
      </w:numPr>
      <w:spacing w:lineRule="auto" w:line="240"/>
      <w:outlineLvl w:val="1"/>
    </w:pPr>
    <w:rPr/>
  </w:style>
  <w:style w:type="paragraph" w:styleId="Heading3">
    <w:name w:val="heading 3"/>
    <w:basedOn w:val="Normal"/>
    <w:next w:val="Normal"/>
    <w:qFormat/>
    <w:pPr>
      <w:numPr>
        <w:ilvl w:val="2"/>
        <w:numId w:val="1"/>
      </w:numPr>
      <w:spacing w:lineRule="auto" w:line="240"/>
      <w:outlineLvl w:val="2"/>
    </w:pPr>
    <w:rPr/>
  </w:style>
  <w:style w:type="paragraph" w:styleId="Heading4">
    <w:name w:val="heading 4"/>
    <w:basedOn w:val="Normal"/>
    <w:next w:val="Normal"/>
    <w:qFormat/>
    <w:pPr>
      <w:numPr>
        <w:ilvl w:val="3"/>
        <w:numId w:val="1"/>
      </w:numPr>
      <w:spacing w:lineRule="auto" w:line="240"/>
      <w:outlineLvl w:val="3"/>
    </w:pPr>
    <w:rPr/>
  </w:style>
  <w:style w:type="paragraph" w:styleId="Heading5">
    <w:name w:val="heading 5"/>
    <w:basedOn w:val="Normal"/>
    <w:next w:val="Normal"/>
    <w:qFormat/>
    <w:pPr>
      <w:numPr>
        <w:ilvl w:val="4"/>
        <w:numId w:val="1"/>
      </w:numPr>
      <w:spacing w:lineRule="auto" w:line="240"/>
      <w:outlineLvl w:val="4"/>
    </w:pPr>
    <w:rPr/>
  </w:style>
  <w:style w:type="paragraph" w:styleId="Heading6">
    <w:name w:val="heading 6"/>
    <w:basedOn w:val="Normal"/>
    <w:next w:val="Normal"/>
    <w:qFormat/>
    <w:pPr>
      <w:numPr>
        <w:ilvl w:val="5"/>
        <w:numId w:val="1"/>
      </w:numPr>
      <w:spacing w:lineRule="auto" w:line="240"/>
      <w:outlineLvl w:val="5"/>
    </w:pPr>
    <w:rPr/>
  </w:style>
  <w:style w:type="paragraph" w:styleId="Heading7">
    <w:name w:val="heading 7"/>
    <w:basedOn w:val="Normal"/>
    <w:next w:val="Normal"/>
    <w:qFormat/>
    <w:pPr>
      <w:numPr>
        <w:ilvl w:val="6"/>
        <w:numId w:val="1"/>
      </w:numPr>
      <w:spacing w:lineRule="auto" w:line="240"/>
      <w:outlineLvl w:val="6"/>
    </w:pPr>
    <w:rPr/>
  </w:style>
  <w:style w:type="paragraph" w:styleId="Heading8">
    <w:name w:val="heading 8"/>
    <w:basedOn w:val="Normal"/>
    <w:next w:val="Normal"/>
    <w:qFormat/>
    <w:pPr>
      <w:numPr>
        <w:ilvl w:val="7"/>
        <w:numId w:val="1"/>
      </w:numPr>
      <w:spacing w:lineRule="auto" w:line="240"/>
      <w:outlineLvl w:val="7"/>
    </w:pPr>
    <w:rPr/>
  </w:style>
  <w:style w:type="paragraph" w:styleId="Heading9">
    <w:name w:val="heading 9"/>
    <w:basedOn w:val="Normal"/>
    <w:next w:val="Normal"/>
    <w:qFormat/>
    <w:pPr>
      <w:numPr>
        <w:ilvl w:val="8"/>
        <w:numId w:val="1"/>
      </w:numPr>
      <w:spacing w:lineRule="auto" w:line="24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rPr>
  </w:style>
  <w:style w:type="character" w:styleId="WW8Num11z1">
    <w:name w:val="WW8Num11z1"/>
    <w:qFormat/>
    <w:rPr/>
  </w:style>
  <w:style w:type="character" w:styleId="WW8Num11z4">
    <w:name w:val="WW8Num11z4"/>
    <w:qFormat/>
    <w:rPr>
      <w:rFonts w:ascii="Symbol" w:hAnsi="Symbol" w:cs="Symbol"/>
    </w:rPr>
  </w:style>
  <w:style w:type="character" w:styleId="WW8Num11z5">
    <w:name w:val="WW8Num11z5"/>
    <w:qFormat/>
    <w:rPr>
      <w:rFonts w:ascii="Wingdings" w:hAnsi="Wingdings" w:cs="Wingdings"/>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Arial" w:hAnsi="Arial" w:cs="Arial"/>
      <w:b/>
      <w:i w:val="false"/>
      <w:sz w:val="21"/>
    </w:rPr>
  </w:style>
  <w:style w:type="character" w:styleId="WW8Num14z1">
    <w:name w:val="WW8Num14z1"/>
    <w:qFormat/>
    <w:rPr>
      <w:rFonts w:ascii="Arial" w:hAnsi="Arial" w:cs="Arial"/>
      <w:b/>
      <w:i w:val="false"/>
      <w:sz w:val="20"/>
    </w:rPr>
  </w:style>
  <w:style w:type="character" w:styleId="WW8Num14z2">
    <w:name w:val="WW8Num14z2"/>
    <w:qFormat/>
    <w:rPr>
      <w:b/>
      <w:i w:val="false"/>
      <w:sz w:val="17"/>
    </w:rPr>
  </w:style>
  <w:style w:type="character" w:styleId="WW8Num15z0">
    <w:name w:val="WW8Num15z0"/>
    <w:qFormat/>
    <w:rPr>
      <w:rFonts w:ascii="Arial" w:hAnsi="Arial" w:cs="Arial"/>
      <w:b/>
      <w:i w:val="false"/>
      <w:sz w:val="21"/>
    </w:rPr>
  </w:style>
  <w:style w:type="character" w:styleId="WW8Num15z1">
    <w:name w:val="WW8Num15z1"/>
    <w:qFormat/>
    <w:rPr>
      <w:rFonts w:ascii="Arial" w:hAnsi="Arial" w:cs="Arial"/>
      <w:b/>
      <w:i w:val="false"/>
      <w:sz w:val="20"/>
    </w:rPr>
  </w:style>
  <w:style w:type="character" w:styleId="WW8Num15z2">
    <w:name w:val="WW8Num15z2"/>
    <w:qFormat/>
    <w:rPr>
      <w:rFonts w:ascii="Arial" w:hAnsi="Arial" w:cs="Arial"/>
      <w:b/>
      <w:i w:val="false"/>
      <w:sz w:val="17"/>
    </w:rPr>
  </w:style>
  <w:style w:type="character" w:styleId="WW8Num15z3">
    <w:name w:val="WW8Num15z3"/>
    <w:qFormat/>
    <w:rPr>
      <w:rFonts w:ascii="Arial" w:hAnsi="Arial" w:cs="Arial"/>
      <w:b w:val="false"/>
      <w:i w:val="false"/>
      <w:sz w:val="18"/>
    </w:rPr>
  </w:style>
  <w:style w:type="character" w:styleId="WW8Num16z0">
    <w:name w:val="WW8Num16z0"/>
    <w:qFormat/>
    <w:rPr>
      <w:rFonts w:ascii="Arial" w:hAnsi="Arial" w:cs="Arial"/>
      <w:b w:val="false"/>
      <w:i w:val="false"/>
      <w:sz w:val="20"/>
    </w:rPr>
  </w:style>
  <w:style w:type="character" w:styleId="WW8Num17z0">
    <w:name w:val="WW8Num17z0"/>
    <w:qFormat/>
    <w:rPr/>
  </w:style>
  <w:style w:type="character" w:styleId="WW8Num18z0">
    <w:name w:val="WW8Num18z0"/>
    <w:qFormat/>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style>
  <w:style w:type="character" w:styleId="WW8Num23z0">
    <w:name w:val="WW8Num23z0"/>
    <w:qFormat/>
    <w:rPr>
      <w:rFonts w:ascii="Symbol" w:hAnsi="Symbol" w:cs="Symbol"/>
    </w:rPr>
  </w:style>
  <w:style w:type="character" w:styleId="WW8Num24z0">
    <w:name w:val="WW8Num24z0"/>
    <w:qFormat/>
    <w:rPr>
      <w:rFonts w:ascii="Arial" w:hAnsi="Arial" w:cs="Arial"/>
      <w:b/>
      <w:i w:val="false"/>
      <w:sz w:val="22"/>
    </w:rPr>
  </w:style>
  <w:style w:type="character" w:styleId="WW8Num24z1">
    <w:name w:val="WW8Num24z1"/>
    <w:qFormat/>
    <w:rPr>
      <w:rFonts w:ascii="Arial" w:hAnsi="Arial" w:cs="Arial"/>
      <w:b/>
      <w:i w:val="false"/>
      <w:sz w:val="19"/>
    </w:rPr>
  </w:style>
  <w:style w:type="character" w:styleId="WW8Num24z2">
    <w:name w:val="WW8Num24z2"/>
    <w:qFormat/>
    <w:rPr>
      <w:rFonts w:ascii="Arial" w:hAnsi="Arial" w:cs="Arial"/>
      <w:b/>
      <w:i w:val="false"/>
      <w:sz w:val="18"/>
    </w:rPr>
  </w:style>
  <w:style w:type="character" w:styleId="WW8Num27z0">
    <w:name w:val="WW8Num27z0"/>
    <w:qFormat/>
    <w:rPr>
      <w:rFonts w:ascii="Symbol" w:hAnsi="Symbol" w:cs="Symbol"/>
    </w:rPr>
  </w:style>
  <w:style w:type="character" w:styleId="WW8Num28z0">
    <w:name w:val="WW8Num28z0"/>
    <w:qFormat/>
    <w:rPr>
      <w:rFonts w:ascii="Arial" w:hAnsi="Arial" w:cs="Arial"/>
      <w:b/>
      <w:i w:val="false"/>
      <w:sz w:val="21"/>
    </w:rPr>
  </w:style>
  <w:style w:type="character" w:styleId="WW8Num28z1">
    <w:name w:val="WW8Num28z1"/>
    <w:qFormat/>
    <w:rPr>
      <w:rFonts w:ascii="Arial" w:hAnsi="Arial" w:cs="Arial"/>
      <w:b/>
      <w:i w:val="false"/>
      <w:sz w:val="20"/>
    </w:rPr>
  </w:style>
  <w:style w:type="character" w:styleId="WW8Num28z2">
    <w:name w:val="WW8Num28z2"/>
    <w:qFormat/>
    <w:rPr>
      <w:rFonts w:ascii="Arial" w:hAnsi="Arial" w:cs="Arial"/>
      <w:b/>
      <w:i w:val="false"/>
      <w:sz w:val="17"/>
    </w:rPr>
  </w:style>
  <w:style w:type="character" w:styleId="WW8Num28z3">
    <w:name w:val="WW8Num28z3"/>
    <w:qFormat/>
    <w:rPr>
      <w:rFonts w:ascii="Arial" w:hAnsi="Arial" w:cs="Arial"/>
      <w:b w:val="false"/>
      <w:i w:val="false"/>
      <w:sz w:val="20"/>
    </w:rPr>
  </w:style>
  <w:style w:type="character" w:styleId="WW8Num29z0">
    <w:name w:val="WW8Num29z0"/>
    <w:qFormat/>
    <w:rPr>
      <w:b/>
      <w:i w:val="false"/>
    </w:rPr>
  </w:style>
  <w:style w:type="character" w:styleId="WW8Num30z0">
    <w:name w:val="WW8Num30z0"/>
    <w:qFormat/>
    <w:rPr>
      <w:b/>
      <w:i w:val="false"/>
    </w:rPr>
  </w:style>
  <w:style w:type="character" w:styleId="WW8Num32z0">
    <w:name w:val="WW8Num32z0"/>
    <w:qFormat/>
    <w:rPr>
      <w:b/>
      <w:i w:val="false"/>
    </w:rPr>
  </w:style>
  <w:style w:type="character" w:styleId="WW8Num32z1">
    <w:name w:val="WW8Num32z1"/>
    <w:qFormat/>
    <w:rPr/>
  </w:style>
  <w:style w:type="character" w:styleId="WW8Num32z3">
    <w:name w:val="WW8Num32z3"/>
    <w:qFormat/>
    <w:rPr>
      <w:rFonts w:ascii="Symbol" w:hAnsi="Symbol" w:cs="Symbol"/>
    </w:rPr>
  </w:style>
  <w:style w:type="character" w:styleId="WW8Num32z5">
    <w:name w:val="WW8Num32z5"/>
    <w:qFormat/>
    <w:rPr>
      <w:rFonts w:ascii="Wingdings" w:hAnsi="Wingdings" w:cs="Wingdings"/>
    </w:rPr>
  </w:style>
  <w:style w:type="character" w:styleId="WW8Num33z0">
    <w:name w:val="WW8Num33z0"/>
    <w:qFormat/>
    <w:rPr>
      <w:b/>
      <w:i w:val="false"/>
      <w:sz w:val="20"/>
    </w:rPr>
  </w:style>
  <w:style w:type="character" w:styleId="WW8Num35z0">
    <w:name w:val="WW8Num35z0"/>
    <w:qFormat/>
    <w:rPr>
      <w:rFonts w:ascii="Symbol" w:hAnsi="Symbol" w:cs="Symbol"/>
    </w:rPr>
  </w:style>
  <w:style w:type="character" w:styleId="WW8Num37z0">
    <w:name w:val="WW8Num37z0"/>
    <w:qFormat/>
    <w:rPr>
      <w:rFonts w:ascii="Arial" w:hAnsi="Arial" w:cs="Arial"/>
      <w:b/>
      <w:i w:val="false"/>
      <w:sz w:val="22"/>
    </w:rPr>
  </w:style>
  <w:style w:type="character" w:styleId="WW8Num37z1">
    <w:name w:val="WW8Num37z1"/>
    <w:qFormat/>
    <w:rPr>
      <w:rFonts w:ascii="Arial" w:hAnsi="Arial" w:cs="Arial"/>
      <w:b/>
      <w:i w:val="false"/>
      <w:sz w:val="19"/>
    </w:rPr>
  </w:style>
  <w:style w:type="character" w:styleId="WW8Num37z2">
    <w:name w:val="WW8Num37z2"/>
    <w:qFormat/>
    <w:rPr>
      <w:rFonts w:ascii="Arial" w:hAnsi="Arial" w:cs="Arial"/>
      <w:b/>
      <w:i w:val="false"/>
      <w:sz w:val="18"/>
    </w:rPr>
  </w:style>
  <w:style w:type="character" w:styleId="WW8Num38z0">
    <w:name w:val="WW8Num38z0"/>
    <w:qFormat/>
    <w:rPr/>
  </w:style>
  <w:style w:type="character" w:styleId="WW8Num44z0">
    <w:name w:val="WW8Num44z0"/>
    <w:qFormat/>
    <w:rPr>
      <w:rFonts w:ascii="Arial" w:hAnsi="Arial" w:cs="Arial"/>
      <w:b w:val="false"/>
      <w:i w:val="false"/>
      <w:sz w:val="20"/>
    </w:rPr>
  </w:style>
  <w:style w:type="character" w:styleId="WW8Num45z0">
    <w:name w:val="WW8Num45z0"/>
    <w:qFormat/>
    <w:rPr>
      <w:rFonts w:ascii="Symbol" w:hAnsi="Symbol" w:cs="Symbol"/>
    </w:rPr>
  </w:style>
  <w:style w:type="character" w:styleId="WW8Num46z0">
    <w:name w:val="WW8Num46z0"/>
    <w:qFormat/>
    <w:rPr>
      <w:rFonts w:ascii="Arial" w:hAnsi="Arial" w:cs="Arial"/>
      <w:b/>
      <w:i w:val="false"/>
      <w:sz w:val="22"/>
    </w:rPr>
  </w:style>
  <w:style w:type="character" w:styleId="WW8Num46z1">
    <w:name w:val="WW8Num46z1"/>
    <w:qFormat/>
    <w:rPr>
      <w:rFonts w:ascii="Arial" w:hAnsi="Arial" w:cs="Arial"/>
      <w:b/>
      <w:i w:val="false"/>
      <w:sz w:val="19"/>
    </w:rPr>
  </w:style>
  <w:style w:type="character" w:styleId="WW8Num46z2">
    <w:name w:val="WW8Num46z2"/>
    <w:qFormat/>
    <w:rPr>
      <w:rFonts w:ascii="Arial" w:hAnsi="Arial" w:cs="Arial"/>
      <w:b/>
      <w:i w:val="false"/>
      <w:sz w:val="18"/>
    </w:rPr>
  </w:style>
  <w:style w:type="character" w:styleId="WW8Num47z0">
    <w:name w:val="WW8Num47z0"/>
    <w:qFormat/>
    <w:rPr>
      <w:b/>
      <w:i w:val="false"/>
    </w:rPr>
  </w:style>
  <w:style w:type="character" w:styleId="WW8Num47z1">
    <w:name w:val="WW8Num47z1"/>
    <w:qFormat/>
    <w:rPr/>
  </w:style>
  <w:style w:type="character" w:styleId="WW8Num47z2">
    <w:name w:val="WW8Num47z2"/>
    <w:qFormat/>
    <w:rPr>
      <w:rFonts w:ascii="Wingdings" w:hAnsi="Wingdings" w:cs="Wingdings"/>
    </w:rPr>
  </w:style>
  <w:style w:type="character" w:styleId="WW8Num47z3">
    <w:name w:val="WW8Num47z3"/>
    <w:qFormat/>
    <w:rPr>
      <w:rFonts w:ascii="Symbol" w:hAnsi="Symbol" w:cs="Symbol"/>
    </w:rPr>
  </w:style>
  <w:style w:type="character" w:styleId="WW8Num48z0">
    <w:name w:val="WW8Num48z0"/>
    <w:qFormat/>
    <w:rPr>
      <w:rFonts w:ascii="Arial" w:hAnsi="Arial" w:cs="Arial"/>
      <w:b/>
      <w:i w:val="false"/>
      <w:sz w:val="20"/>
    </w:rPr>
  </w:style>
  <w:style w:type="character" w:styleId="WW8Num48z1">
    <w:name w:val="WW8Num48z1"/>
    <w:qFormat/>
    <w:rPr>
      <w:rFonts w:ascii="Arial" w:hAnsi="Arial" w:cs="Arial"/>
      <w:b/>
      <w:i w:val="false"/>
      <w:sz w:val="18"/>
    </w:rPr>
  </w:style>
  <w:style w:type="character" w:styleId="WW8Num50z0">
    <w:name w:val="WW8Num50z0"/>
    <w:qFormat/>
    <w:rPr>
      <w:rFonts w:ascii="Symbol" w:hAnsi="Symbol" w:cs="Symbol"/>
    </w:rPr>
  </w:style>
  <w:style w:type="character" w:styleId="WW8Num51z0">
    <w:name w:val="WW8Num51z0"/>
    <w:qFormat/>
    <w:rPr>
      <w:rFonts w:ascii="Symbol" w:hAnsi="Symbol" w:cs="Symbol"/>
      <w:color w:val="auto"/>
    </w:rPr>
  </w:style>
  <w:style w:type="character" w:styleId="WW8Num52z0">
    <w:name w:val="WW8Num52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Arial" w:hAnsi="Arial" w:cs="Arial"/>
      <w:b/>
      <w:i w:val="false"/>
      <w:sz w:val="21"/>
    </w:rPr>
  </w:style>
  <w:style w:type="character" w:styleId="WW8Num56z1">
    <w:name w:val="WW8Num56z1"/>
    <w:qFormat/>
    <w:rPr>
      <w:rFonts w:ascii="Arial" w:hAnsi="Arial" w:cs="Arial"/>
      <w:b/>
      <w:i w:val="false"/>
      <w:sz w:val="20"/>
    </w:rPr>
  </w:style>
  <w:style w:type="character" w:styleId="WW8Num56z2">
    <w:name w:val="WW8Num56z2"/>
    <w:qFormat/>
    <w:rPr>
      <w:b/>
      <w:i w:val="false"/>
      <w:sz w:val="17"/>
    </w:rPr>
  </w:style>
  <w:style w:type="character" w:styleId="WW8Num57z0">
    <w:name w:val="WW8Num57z0"/>
    <w:qFormat/>
    <w:rPr>
      <w:rFonts w:ascii="Arial" w:hAnsi="Arial" w:cs="Arial"/>
      <w:b w:val="false"/>
      <w:i w:val="false"/>
      <w:sz w:val="20"/>
    </w:rPr>
  </w:style>
  <w:style w:type="character" w:styleId="WW8Num58z0">
    <w:name w:val="WW8Num58z0"/>
    <w:qFormat/>
    <w:rPr>
      <w:b w:val="false"/>
      <w:i w:val="false"/>
    </w:rPr>
  </w:style>
  <w:style w:type="character" w:styleId="WW8Num59z0">
    <w:name w:val="WW8Num59z0"/>
    <w:qFormat/>
    <w:rPr>
      <w:rFonts w:ascii="Arial" w:hAnsi="Arial" w:cs="Arial"/>
      <w:b/>
      <w:i w:val="false"/>
      <w:sz w:val="21"/>
    </w:rPr>
  </w:style>
  <w:style w:type="character" w:styleId="WW8Num59z2">
    <w:name w:val="WW8Num59z2"/>
    <w:qFormat/>
    <w:rPr>
      <w:rFonts w:ascii="Arial" w:hAnsi="Arial" w:cs="Arial"/>
      <w:b/>
      <w:i w:val="false"/>
      <w:sz w:val="17"/>
    </w:rPr>
  </w:style>
  <w:style w:type="character" w:styleId="WW8Num59z3">
    <w:name w:val="WW8Num59z3"/>
    <w:qFormat/>
    <w:rPr>
      <w:rFonts w:ascii="Arial" w:hAnsi="Arial" w:cs="Arial"/>
      <w:b w:val="false"/>
      <w:i w:val="false"/>
      <w:sz w:val="20"/>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3z0">
    <w:name w:val="WW8Num63z0"/>
    <w:qFormat/>
    <w:rPr>
      <w:rFonts w:ascii="Arial" w:hAnsi="Arial" w:cs="Arial"/>
      <w:b/>
      <w:i w:val="false"/>
      <w:sz w:val="20"/>
    </w:rPr>
  </w:style>
  <w:style w:type="character" w:styleId="WW8Num63z2">
    <w:name w:val="WW8Num63z2"/>
    <w:qFormat/>
    <w:rPr>
      <w:rFonts w:ascii="Arial" w:hAnsi="Arial" w:cs="Arial"/>
      <w:b/>
      <w:i w:val="false"/>
      <w:sz w:val="17"/>
    </w:rPr>
  </w:style>
  <w:style w:type="character" w:styleId="WW8Num63z3">
    <w:name w:val="WW8Num63z3"/>
    <w:qFormat/>
    <w:rPr>
      <w:rFonts w:ascii="Arial" w:hAnsi="Arial" w:cs="Arial"/>
      <w:b w:val="false"/>
      <w:i w:val="false"/>
      <w:sz w:val="18"/>
    </w:rPr>
  </w:style>
  <w:style w:type="character" w:styleId="WW8Num64z0">
    <w:name w:val="WW8Num64z0"/>
    <w:qFormat/>
    <w:rPr>
      <w:rFonts w:ascii="Symbol" w:hAnsi="Symbol" w:cs="Symbol"/>
    </w:rPr>
  </w:style>
  <w:style w:type="character" w:styleId="WW8Num66z0">
    <w:name w:val="WW8Num66z0"/>
    <w:qFormat/>
    <w:rPr>
      <w:rFonts w:ascii="Symbol" w:hAnsi="Symbol" w:cs="Symbol"/>
      <w:color w:val="auto"/>
    </w:rPr>
  </w:style>
  <w:style w:type="character" w:styleId="WW8Num67z0">
    <w:name w:val="WW8Num67z0"/>
    <w:qFormat/>
    <w:rPr>
      <w:rFonts w:ascii="Arial" w:hAnsi="Arial" w:cs="Arial"/>
      <w:b/>
      <w:i w:val="false"/>
      <w:sz w:val="21"/>
    </w:rPr>
  </w:style>
  <w:style w:type="character" w:styleId="WW8Num67z1">
    <w:name w:val="WW8Num67z1"/>
    <w:qFormat/>
    <w:rPr>
      <w:rFonts w:ascii="Arial" w:hAnsi="Arial" w:cs="Arial"/>
      <w:b/>
      <w:i w:val="false"/>
      <w:sz w:val="20"/>
    </w:rPr>
  </w:style>
  <w:style w:type="character" w:styleId="WW8Num67z2">
    <w:name w:val="WW8Num67z2"/>
    <w:qFormat/>
    <w:rPr>
      <w:rFonts w:ascii="Arial" w:hAnsi="Arial" w:cs="Arial"/>
      <w:b/>
      <w:i w:val="false"/>
      <w:sz w:val="17"/>
    </w:rPr>
  </w:style>
  <w:style w:type="character" w:styleId="WW8Num67z3">
    <w:name w:val="WW8Num67z3"/>
    <w:qFormat/>
    <w:rPr>
      <w:rFonts w:ascii="Arial" w:hAnsi="Arial" w:cs="Arial"/>
      <w:b w:val="false"/>
      <w:i w:val="false"/>
      <w:sz w:val="20"/>
    </w:rPr>
  </w:style>
  <w:style w:type="character" w:styleId="WW8Num68z0">
    <w:name w:val="WW8Num68z0"/>
    <w:qFormat/>
    <w:rPr>
      <w:rFonts w:ascii="Symbol" w:hAnsi="Symbol" w:cs="Symbol"/>
    </w:rPr>
  </w:style>
  <w:style w:type="character" w:styleId="WW8Num71z0">
    <w:name w:val="WW8Num71z0"/>
    <w:qFormat/>
    <w:rPr>
      <w:rFonts w:ascii="Symbol" w:hAnsi="Symbol" w:cs="Symbol"/>
    </w:rPr>
  </w:style>
  <w:style w:type="character" w:styleId="WW8Num73z0">
    <w:name w:val="WW8Num73z0"/>
    <w:qFormat/>
    <w:rPr>
      <w:b/>
      <w:i w:val="false"/>
    </w:rPr>
  </w:style>
  <w:style w:type="character" w:styleId="WW8Num74z0">
    <w:name w:val="WW8Num74z0"/>
    <w:qFormat/>
    <w:rPr>
      <w:rFonts w:ascii="Arial" w:hAnsi="Arial" w:cs="Arial"/>
      <w:b/>
      <w:i w:val="false"/>
      <w:sz w:val="22"/>
    </w:rPr>
  </w:style>
  <w:style w:type="character" w:styleId="WW8Num74z1">
    <w:name w:val="WW8Num74z1"/>
    <w:qFormat/>
    <w:rPr>
      <w:rFonts w:ascii="Arial" w:hAnsi="Arial" w:cs="Arial"/>
      <w:b/>
      <w:i w:val="false"/>
      <w:sz w:val="19"/>
    </w:rPr>
  </w:style>
  <w:style w:type="character" w:styleId="WW8Num74z2">
    <w:name w:val="WW8Num74z2"/>
    <w:qFormat/>
    <w:rPr>
      <w:rFonts w:ascii="Arial" w:hAnsi="Arial" w:cs="Arial"/>
      <w:b/>
      <w:i w:val="false"/>
      <w:sz w:val="18"/>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color w:val="auto"/>
    </w:rPr>
  </w:style>
  <w:style w:type="character" w:styleId="WW8Num81z0">
    <w:name w:val="WW8Num81z0"/>
    <w:qFormat/>
    <w:rPr>
      <w:b/>
      <w:i w:val="false"/>
    </w:rPr>
  </w:style>
  <w:style w:type="character" w:styleId="WW8Num81z1">
    <w:name w:val="WW8Num81z1"/>
    <w:qFormat/>
    <w:rPr/>
  </w:style>
  <w:style w:type="character" w:styleId="WW8Num81z4">
    <w:name w:val="WW8Num81z4"/>
    <w:qFormat/>
    <w:rPr>
      <w:rFonts w:ascii="Symbol" w:hAnsi="Symbol" w:cs="Symbol"/>
    </w:rPr>
  </w:style>
  <w:style w:type="character" w:styleId="WW8Num81z5">
    <w:name w:val="WW8Num81z5"/>
    <w:qFormat/>
    <w:rPr>
      <w:rFonts w:ascii="Wingdings" w:hAnsi="Wingdings" w:cs="Wingdings"/>
    </w:rPr>
  </w:style>
  <w:style w:type="character" w:styleId="WW8Num83z0">
    <w:name w:val="WW8Num83z0"/>
    <w:qFormat/>
    <w:rPr>
      <w:rFonts w:ascii="Symbol" w:hAnsi="Symbol" w:cs="Symbol"/>
    </w:rPr>
  </w:style>
  <w:style w:type="character" w:styleId="WW8Num84z0">
    <w:name w:val="WW8Num84z0"/>
    <w:qFormat/>
    <w:rPr>
      <w:b/>
      <w:i w:val="false"/>
    </w:rPr>
  </w:style>
  <w:style w:type="character" w:styleId="WW8Num85z0">
    <w:name w:val="WW8Num85z0"/>
    <w:qFormat/>
    <w:rPr>
      <w:rFonts w:ascii="Arial" w:hAnsi="Arial" w:cs="Arial"/>
      <w:b/>
      <w:i w:val="false"/>
      <w:sz w:val="21"/>
    </w:rPr>
  </w:style>
  <w:style w:type="character" w:styleId="WW8Num85z1">
    <w:name w:val="WW8Num85z1"/>
    <w:qFormat/>
    <w:rPr>
      <w:rFonts w:ascii="Arial" w:hAnsi="Arial" w:cs="Arial"/>
      <w:b/>
      <w:i w:val="false"/>
      <w:sz w:val="20"/>
    </w:rPr>
  </w:style>
  <w:style w:type="character" w:styleId="WW8Num85z2">
    <w:name w:val="WW8Num85z2"/>
    <w:qFormat/>
    <w:rPr>
      <w:rFonts w:ascii="Arial" w:hAnsi="Arial" w:cs="Arial"/>
      <w:b/>
      <w:i w:val="false"/>
      <w:sz w:val="17"/>
    </w:rPr>
  </w:style>
  <w:style w:type="character" w:styleId="WW8Num85z3">
    <w:name w:val="WW8Num85z3"/>
    <w:qFormat/>
    <w:rPr>
      <w:rFonts w:ascii="Arial" w:hAnsi="Arial" w:cs="Arial"/>
      <w:b w:val="false"/>
      <w:i w:val="false"/>
      <w:sz w:val="20"/>
    </w:rPr>
  </w:style>
  <w:style w:type="character" w:styleId="WW8Num86z0">
    <w:name w:val="WW8Num86z0"/>
    <w:qFormat/>
    <w:rPr>
      <w:rFonts w:ascii="Arial" w:hAnsi="Arial" w:cs="Arial"/>
      <w:b/>
      <w:i w:val="false"/>
      <w:sz w:val="22"/>
    </w:rPr>
  </w:style>
  <w:style w:type="character" w:styleId="WW8Num86z1">
    <w:name w:val="WW8Num86z1"/>
    <w:qFormat/>
    <w:rPr>
      <w:rFonts w:ascii="Arial" w:hAnsi="Arial" w:cs="Arial"/>
      <w:b/>
      <w:i w:val="false"/>
      <w:sz w:val="21"/>
    </w:rPr>
  </w:style>
  <w:style w:type="character" w:styleId="WW8Num86z2">
    <w:name w:val="WW8Num86z2"/>
    <w:qFormat/>
    <w:rPr>
      <w:rFonts w:ascii="Arial" w:hAnsi="Arial" w:cs="Arial"/>
      <w:b/>
      <w:i w:val="false"/>
      <w:sz w:val="17"/>
    </w:rPr>
  </w:style>
  <w:style w:type="character" w:styleId="WW8Num86z3">
    <w:name w:val="WW8Num86z3"/>
    <w:qFormat/>
    <w:rPr>
      <w:rFonts w:ascii="Arial" w:hAnsi="Arial" w:cs="Arial"/>
      <w:b w:val="false"/>
      <w:i w:val="false"/>
      <w:sz w:val="20"/>
    </w:rPr>
  </w:style>
  <w:style w:type="character" w:styleId="WW8Num88z0">
    <w:name w:val="WW8Num88z0"/>
    <w:qFormat/>
    <w:rPr>
      <w:rFonts w:ascii="Arial" w:hAnsi="Arial" w:cs="Arial"/>
      <w:b/>
      <w:i w:val="false"/>
      <w:sz w:val="21"/>
    </w:rPr>
  </w:style>
  <w:style w:type="character" w:styleId="WW8Num88z1">
    <w:name w:val="WW8Num88z1"/>
    <w:qFormat/>
    <w:rPr>
      <w:rFonts w:ascii="Arial" w:hAnsi="Arial" w:cs="Arial"/>
      <w:b/>
      <w:i w:val="false"/>
      <w:sz w:val="20"/>
    </w:rPr>
  </w:style>
  <w:style w:type="character" w:styleId="WW8Num88z2">
    <w:name w:val="WW8Num88z2"/>
    <w:qFormat/>
    <w:rPr>
      <w:rFonts w:ascii="Arial" w:hAnsi="Arial" w:cs="Arial"/>
      <w:b/>
      <w:i w:val="false"/>
      <w:sz w:val="17"/>
    </w:rPr>
  </w:style>
  <w:style w:type="character" w:styleId="WW8Num88z3">
    <w:name w:val="WW8Num88z3"/>
    <w:qFormat/>
    <w:rPr>
      <w:rFonts w:ascii="Arial" w:hAnsi="Arial" w:cs="Arial"/>
      <w:b w:val="false"/>
      <w:i w:val="false"/>
      <w:sz w:val="20"/>
    </w:rPr>
  </w:style>
  <w:style w:type="character" w:styleId="WW8Num89z0">
    <w:name w:val="WW8Num89z0"/>
    <w:qFormat/>
    <w:rPr>
      <w:rFonts w:ascii="Arial" w:hAnsi="Arial" w:cs="Arial"/>
      <w:b/>
      <w:i w:val="false"/>
      <w:sz w:val="21"/>
    </w:rPr>
  </w:style>
  <w:style w:type="character" w:styleId="WW8Num89z1">
    <w:name w:val="WW8Num89z1"/>
    <w:qFormat/>
    <w:rPr>
      <w:rFonts w:ascii="Arial" w:hAnsi="Arial" w:cs="Arial"/>
      <w:b/>
      <w:i w:val="false"/>
      <w:sz w:val="20"/>
    </w:rPr>
  </w:style>
  <w:style w:type="character" w:styleId="WW8Num89z2">
    <w:name w:val="WW8Num89z2"/>
    <w:qFormat/>
    <w:rPr>
      <w:rFonts w:ascii="Arial" w:hAnsi="Arial" w:cs="Arial"/>
      <w:b/>
      <w:i w:val="false"/>
      <w:sz w:val="17"/>
    </w:rPr>
  </w:style>
  <w:style w:type="character" w:styleId="WW8Num89z3">
    <w:name w:val="WW8Num89z3"/>
    <w:qFormat/>
    <w:rPr>
      <w:rFonts w:ascii="Arial" w:hAnsi="Arial" w:cs="Arial"/>
      <w:b w:val="false"/>
      <w:i w:val="false"/>
      <w:sz w:val="20"/>
    </w:rPr>
  </w:style>
  <w:style w:type="character" w:styleId="WW8Num91z0">
    <w:name w:val="WW8Num91z0"/>
    <w:qFormat/>
    <w:rPr>
      <w:rFonts w:ascii="Symbol" w:hAnsi="Symbol" w:cs="Symbol"/>
    </w:rPr>
  </w:style>
  <w:style w:type="character" w:styleId="WW8Num92z0">
    <w:name w:val="WW8Num92z0"/>
    <w:qFormat/>
    <w:rPr>
      <w:b/>
      <w:i w:val="false"/>
    </w:rPr>
  </w:style>
  <w:style w:type="character" w:styleId="WW8Num92z1">
    <w:name w:val="WW8Num92z1"/>
    <w:qFormat/>
    <w:rPr/>
  </w:style>
  <w:style w:type="character" w:styleId="WW8Num92z4">
    <w:name w:val="WW8Num92z4"/>
    <w:qFormat/>
    <w:rPr>
      <w:rFonts w:ascii="Symbol" w:hAnsi="Symbol" w:cs="Symbol"/>
    </w:rPr>
  </w:style>
  <w:style w:type="character" w:styleId="WW8Num92z5">
    <w:name w:val="WW8Num92z5"/>
    <w:qFormat/>
    <w:rPr>
      <w:rFonts w:ascii="Wingdings" w:hAnsi="Wingdings" w:cs="Wingdings"/>
    </w:rPr>
  </w:style>
  <w:style w:type="character" w:styleId="WW8Num93z0">
    <w:name w:val="WW8Num93z0"/>
    <w:qFormat/>
    <w:rPr>
      <w:rFonts w:ascii="Symbol" w:hAnsi="Symbol" w:cs="Symbol"/>
    </w:rPr>
  </w:style>
  <w:style w:type="character" w:styleId="WW8Num94z0">
    <w:name w:val="WW8Num94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rFonts w:ascii="Arial" w:hAnsi="Arial" w:cs="Arial"/>
      <w:vertAlign w:val="superscript"/>
    </w:rPr>
  </w:style>
  <w:style w:type="character" w:styleId="EndnoteCharacters">
    <w:name w:val="Endnote Characters"/>
    <w:basedOn w:val="DefaultParagraphFont"/>
    <w:qFormat/>
    <w:rPr>
      <w:rFonts w:ascii="Arial" w:hAnsi="Arial" w:cs="Arial"/>
      <w:vertAlign w:val="superscript"/>
    </w:rPr>
  </w:style>
  <w:style w:type="paragraph" w:styleId="Heading">
    <w:name w:val="Heading"/>
    <w:basedOn w:val="Normal"/>
    <w:next w:val="Body"/>
    <w:qFormat/>
    <w:pPr>
      <w:keepNext w:val="true"/>
      <w:keepLines/>
      <w:spacing w:before="0" w:after="240"/>
      <w:jc w:val="both"/>
    </w:pPr>
    <w:rPr>
      <w:b/>
      <w:sz w:val="25"/>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lpha1">
    <w:name w:val="alpha 1"/>
    <w:basedOn w:val="Normal"/>
    <w:qFormat/>
    <w:pPr>
      <w:numPr>
        <w:ilvl w:val="0"/>
        <w:numId w:val="17"/>
      </w:numPr>
      <w:spacing w:before="0" w:after="140"/>
      <w:jc w:val="both"/>
    </w:pPr>
    <w:rPr/>
  </w:style>
  <w:style w:type="paragraph" w:styleId="alpha2">
    <w:name w:val="alpha 2"/>
    <w:basedOn w:val="Normal"/>
    <w:qFormat/>
    <w:pPr>
      <w:numPr>
        <w:ilvl w:val="0"/>
        <w:numId w:val="2"/>
      </w:numPr>
      <w:spacing w:before="0" w:after="140"/>
      <w:jc w:val="both"/>
    </w:pPr>
    <w:rPr/>
  </w:style>
  <w:style w:type="paragraph" w:styleId="alpha3">
    <w:name w:val="alpha 3"/>
    <w:basedOn w:val="Normal"/>
    <w:qFormat/>
    <w:pPr>
      <w:numPr>
        <w:ilvl w:val="0"/>
        <w:numId w:val="12"/>
      </w:numPr>
      <w:spacing w:before="0" w:after="140"/>
      <w:jc w:val="both"/>
    </w:pPr>
    <w:rPr/>
  </w:style>
  <w:style w:type="paragraph" w:styleId="Body">
    <w:name w:val="Body"/>
    <w:qFormat/>
    <w:pPr>
      <w:widowControl/>
      <w:tabs>
        <w:tab w:val="clear" w:pos="567"/>
        <w:tab w:val="left" w:pos="0" w:leader="none"/>
      </w:tabs>
      <w:bidi w:val="0"/>
      <w:spacing w:lineRule="auto" w:line="288" w:before="0" w:after="140"/>
      <w:jc w:val="both"/>
    </w:pPr>
    <w:rPr>
      <w:rFonts w:ascii="Arial" w:hAnsi="Arial" w:eastAsia="Times New Roman" w:cs="Arial"/>
      <w:color w:val="auto"/>
      <w:kern w:val="2"/>
      <w:sz w:val="20"/>
      <w:szCs w:val="20"/>
      <w:lang w:val="en-GB" w:bidi="ar-SA" w:eastAsia="zh-CN"/>
    </w:rPr>
  </w:style>
  <w:style w:type="paragraph" w:styleId="Body1">
    <w:name w:val="Body 1"/>
    <w:basedOn w:val="Body"/>
    <w:qFormat/>
    <w:pPr>
      <w:tabs>
        <w:tab w:val="clear" w:pos="0"/>
        <w:tab w:val="left" w:pos="680" w:leader="none"/>
      </w:tabs>
      <w:ind w:hanging="0" w:start="680" w:end="0"/>
    </w:pPr>
    <w:rPr/>
  </w:style>
  <w:style w:type="paragraph" w:styleId="Body2">
    <w:name w:val="Body 2"/>
    <w:basedOn w:val="Body"/>
    <w:qFormat/>
    <w:pPr>
      <w:tabs>
        <w:tab w:val="clear" w:pos="0"/>
        <w:tab w:val="left" w:pos="680" w:leader="none"/>
      </w:tabs>
      <w:ind w:hanging="0" w:start="680" w:end="0"/>
    </w:pPr>
    <w:rPr/>
  </w:style>
  <w:style w:type="paragraph" w:styleId="Body3">
    <w:name w:val="Body 3"/>
    <w:basedOn w:val="Body"/>
    <w:qFormat/>
    <w:pPr>
      <w:tabs>
        <w:tab w:val="clear" w:pos="0"/>
        <w:tab w:val="left" w:pos="1361" w:leader="none"/>
      </w:tabs>
      <w:ind w:hanging="0" w:start="1361" w:end="0"/>
    </w:pPr>
    <w:rPr/>
  </w:style>
  <w:style w:type="paragraph" w:styleId="Body4">
    <w:name w:val="Body 4"/>
    <w:basedOn w:val="Body"/>
    <w:qFormat/>
    <w:pPr>
      <w:tabs>
        <w:tab w:val="clear" w:pos="0"/>
        <w:tab w:val="left" w:pos="2041" w:leader="none"/>
      </w:tabs>
      <w:ind w:hanging="0" w:start="2041" w:end="0"/>
    </w:pPr>
    <w:rPr/>
  </w:style>
  <w:style w:type="paragraph" w:styleId="Body5">
    <w:name w:val="Body 5"/>
    <w:basedOn w:val="Body"/>
    <w:qFormat/>
    <w:pPr>
      <w:tabs>
        <w:tab w:val="clear" w:pos="0"/>
        <w:tab w:val="left" w:pos="2608" w:leader="none"/>
      </w:tabs>
      <w:ind w:hanging="0" w:start="2608" w:end="0"/>
    </w:pPr>
    <w:rPr/>
  </w:style>
  <w:style w:type="paragraph" w:styleId="Body6">
    <w:name w:val="Body 6"/>
    <w:basedOn w:val="Body"/>
    <w:qFormat/>
    <w:pPr>
      <w:tabs>
        <w:tab w:val="clear" w:pos="0"/>
        <w:tab w:val="left" w:pos="3289" w:leader="none"/>
      </w:tabs>
      <w:ind w:hanging="0" w:start="3289" w:end="0"/>
    </w:pPr>
    <w:rPr/>
  </w:style>
  <w:style w:type="paragraph" w:styleId="Bullet1">
    <w:name w:val="Bullet 1"/>
    <w:basedOn w:val="Normal"/>
    <w:qFormat/>
    <w:pPr>
      <w:numPr>
        <w:ilvl w:val="0"/>
        <w:numId w:val="18"/>
      </w:numPr>
      <w:spacing w:before="0" w:after="140"/>
      <w:jc w:val="both"/>
    </w:pPr>
    <w:rPr/>
  </w:style>
  <w:style w:type="paragraph" w:styleId="Bullet2">
    <w:name w:val="Bullet 2"/>
    <w:basedOn w:val="Normal"/>
    <w:qFormat/>
    <w:pPr>
      <w:numPr>
        <w:ilvl w:val="0"/>
        <w:numId w:val="16"/>
      </w:numPr>
      <w:spacing w:before="0" w:after="140"/>
      <w:jc w:val="both"/>
    </w:pPr>
    <w:rPr/>
  </w:style>
  <w:style w:type="paragraph" w:styleId="Bullet3">
    <w:name w:val="Bullet 3"/>
    <w:basedOn w:val="Normal"/>
    <w:qFormat/>
    <w:pPr>
      <w:numPr>
        <w:ilvl w:val="0"/>
        <w:numId w:val="25"/>
      </w:numPr>
      <w:spacing w:before="0" w:after="140"/>
      <w:jc w:val="both"/>
    </w:pPr>
    <w:rPr/>
  </w:style>
  <w:style w:type="paragraph" w:styleId="CellBody">
    <w:name w:val="CellBody"/>
    <w:basedOn w:val="Normal"/>
    <w:qFormat/>
    <w:pPr>
      <w:spacing w:before="60" w:after="60"/>
    </w:pPr>
    <w:rPr/>
  </w:style>
  <w:style w:type="paragraph" w:styleId="CellHead">
    <w:name w:val="CellHead"/>
    <w:basedOn w:val="Normal"/>
    <w:qFormat/>
    <w:pPr>
      <w:spacing w:lineRule="auto" w:line="257" w:before="60" w:after="60"/>
    </w:pPr>
    <w:rPr>
      <w:b/>
    </w:rPr>
  </w:style>
  <w:style w:type="paragraph" w:styleId="HeaderandFooter">
    <w:name w:val="Header and Footer"/>
    <w:basedOn w:val="Normal"/>
    <w:qFormat/>
    <w:pPr>
      <w:suppressLineNumbers/>
      <w:tabs>
        <w:tab w:val="clear" w:pos="567"/>
        <w:tab w:val="center" w:pos="4986" w:leader="none"/>
        <w:tab w:val="right" w:pos="9972" w:leader="none"/>
      </w:tabs>
    </w:pPr>
    <w:rPr/>
  </w:style>
  <w:style w:type="paragraph" w:styleId="Footer">
    <w:name w:val="footer"/>
    <w:basedOn w:val="Normal"/>
    <w:pPr>
      <w:tabs>
        <w:tab w:val="clear" w:pos="567"/>
        <w:tab w:val="center" w:pos="4536" w:leader="none"/>
        <w:tab w:val="right" w:pos="9072" w:leader="none"/>
      </w:tabs>
      <w:spacing w:lineRule="auto" w:line="240"/>
    </w:pPr>
    <w:rPr>
      <w:sz w:val="17"/>
    </w:rPr>
  </w:style>
  <w:style w:type="paragraph" w:styleId="FootnoteText">
    <w:name w:val="footnote text"/>
    <w:basedOn w:val="Normal"/>
    <w:pPr>
      <w:keepLines/>
      <w:tabs>
        <w:tab w:val="clear" w:pos="567"/>
        <w:tab w:val="left" w:pos="227" w:leader="none"/>
      </w:tabs>
      <w:spacing w:lineRule="atLeast" w:line="200" w:before="0" w:after="60"/>
      <w:ind w:hanging="227" w:start="227" w:end="0"/>
      <w:jc w:val="both"/>
    </w:pPr>
    <w:rPr>
      <w:sz w:val="16"/>
    </w:rPr>
  </w:style>
  <w:style w:type="paragraph" w:styleId="Head">
    <w:name w:val="Head"/>
    <w:basedOn w:val="Normal"/>
    <w:next w:val="Body"/>
    <w:qFormat/>
    <w:pPr>
      <w:keepNext w:val="true"/>
      <w:keepLines/>
      <w:spacing w:before="140" w:after="140"/>
      <w:jc w:val="both"/>
    </w:pPr>
    <w:rPr>
      <w:b/>
      <w:sz w:val="23"/>
    </w:rPr>
  </w:style>
  <w:style w:type="paragraph" w:styleId="Head1">
    <w:name w:val="Head 1"/>
    <w:basedOn w:val="Normal"/>
    <w:next w:val="Body1"/>
    <w:qFormat/>
    <w:pPr>
      <w:keepNext w:val="true"/>
      <w:keepLines/>
      <w:spacing w:before="140" w:after="140"/>
      <w:ind w:hanging="0" w:start="680" w:end="0"/>
      <w:jc w:val="both"/>
    </w:pPr>
    <w:rPr>
      <w:b/>
      <w:sz w:val="22"/>
    </w:rPr>
  </w:style>
  <w:style w:type="paragraph" w:styleId="Head2">
    <w:name w:val="Head 2"/>
    <w:basedOn w:val="Normal"/>
    <w:next w:val="Body2"/>
    <w:qFormat/>
    <w:pPr>
      <w:keepNext w:val="true"/>
      <w:keepLines/>
      <w:spacing w:before="140" w:after="60"/>
      <w:ind w:hanging="0" w:start="1361" w:end="0"/>
      <w:jc w:val="both"/>
    </w:pPr>
    <w:rPr>
      <w:b/>
      <w:sz w:val="21"/>
    </w:rPr>
  </w:style>
  <w:style w:type="paragraph" w:styleId="Head3">
    <w:name w:val="Head 3"/>
    <w:basedOn w:val="Normal"/>
    <w:next w:val="Body3"/>
    <w:qFormat/>
    <w:pPr>
      <w:keepNext w:val="true"/>
      <w:keepLines/>
      <w:spacing w:before="140" w:after="40"/>
      <w:ind w:hanging="0" w:start="2041" w:end="0"/>
      <w:jc w:val="both"/>
    </w:pPr>
    <w:rPr>
      <w:b/>
    </w:rPr>
  </w:style>
  <w:style w:type="paragraph" w:styleId="Header">
    <w:name w:val="header"/>
    <w:basedOn w:val="Normal"/>
    <w:pPr>
      <w:tabs>
        <w:tab w:val="clear" w:pos="567"/>
        <w:tab w:val="center" w:pos="4536" w:leader="none"/>
        <w:tab w:val="right" w:pos="9072" w:leader="none"/>
      </w:tabs>
      <w:spacing w:lineRule="auto" w:line="240"/>
    </w:pPr>
    <w:rPr>
      <w:sz w:val="19"/>
    </w:rPr>
  </w:style>
  <w:style w:type="paragraph" w:styleId="Level1">
    <w:name w:val="Level 1"/>
    <w:basedOn w:val="Normal"/>
    <w:next w:val="Body1"/>
    <w:qFormat/>
    <w:pPr>
      <w:keepNext w:val="true"/>
      <w:numPr>
        <w:ilvl w:val="0"/>
        <w:numId w:val="14"/>
      </w:numPr>
      <w:spacing w:before="140" w:after="140"/>
      <w:jc w:val="both"/>
      <w:outlineLvl w:val="0"/>
    </w:pPr>
    <w:rPr>
      <w:b/>
      <w:sz w:val="22"/>
    </w:rPr>
  </w:style>
  <w:style w:type="paragraph" w:styleId="Level2">
    <w:name w:val="Level 2"/>
    <w:basedOn w:val="Normal"/>
    <w:next w:val="Body2"/>
    <w:qFormat/>
    <w:pPr>
      <w:keepNext w:val="true"/>
      <w:numPr>
        <w:ilvl w:val="0"/>
        <w:numId w:val="14"/>
      </w:numPr>
      <w:spacing w:before="140" w:after="60"/>
      <w:jc w:val="both"/>
      <w:outlineLvl w:val="1"/>
    </w:pPr>
    <w:rPr>
      <w:b/>
      <w:sz w:val="21"/>
    </w:rPr>
  </w:style>
  <w:style w:type="paragraph" w:styleId="Level3">
    <w:name w:val="Level 3"/>
    <w:basedOn w:val="Normal"/>
    <w:qFormat/>
    <w:pPr>
      <w:numPr>
        <w:ilvl w:val="0"/>
        <w:numId w:val="14"/>
      </w:numPr>
      <w:spacing w:before="0" w:after="140"/>
      <w:jc w:val="both"/>
      <w:outlineLvl w:val="2"/>
    </w:pPr>
    <w:rPr/>
  </w:style>
  <w:style w:type="paragraph" w:styleId="Level4">
    <w:name w:val="Level 4"/>
    <w:basedOn w:val="Normal"/>
    <w:qFormat/>
    <w:pPr>
      <w:numPr>
        <w:ilvl w:val="0"/>
        <w:numId w:val="14"/>
      </w:numPr>
      <w:spacing w:before="0" w:after="140"/>
      <w:jc w:val="both"/>
      <w:outlineLvl w:val="3"/>
    </w:pPr>
    <w:rPr/>
  </w:style>
  <w:style w:type="paragraph" w:styleId="Level5">
    <w:name w:val="Level 5"/>
    <w:basedOn w:val="Normal"/>
    <w:qFormat/>
    <w:pPr>
      <w:numPr>
        <w:ilvl w:val="0"/>
        <w:numId w:val="14"/>
      </w:numPr>
      <w:spacing w:before="0" w:after="140"/>
      <w:jc w:val="both"/>
      <w:outlineLvl w:val="4"/>
    </w:pPr>
    <w:rPr/>
  </w:style>
  <w:style w:type="paragraph" w:styleId="Level6">
    <w:name w:val="Level 6"/>
    <w:basedOn w:val="Normal"/>
    <w:qFormat/>
    <w:pPr>
      <w:numPr>
        <w:ilvl w:val="0"/>
        <w:numId w:val="14"/>
      </w:numPr>
      <w:spacing w:before="0" w:after="140"/>
      <w:jc w:val="both"/>
      <w:outlineLvl w:val="5"/>
    </w:pPr>
    <w:rPr/>
  </w:style>
  <w:style w:type="paragraph" w:styleId="Parties">
    <w:name w:val="Parties"/>
    <w:basedOn w:val="Normal"/>
    <w:qFormat/>
    <w:pPr>
      <w:numPr>
        <w:ilvl w:val="0"/>
        <w:numId w:val="9"/>
      </w:numPr>
      <w:spacing w:before="0" w:after="140"/>
      <w:jc w:val="both"/>
    </w:pPr>
    <w:rPr/>
  </w:style>
  <w:style w:type="paragraph" w:styleId="Recitals">
    <w:name w:val="Recitals"/>
    <w:basedOn w:val="Normal"/>
    <w:qFormat/>
    <w:pPr>
      <w:numPr>
        <w:ilvl w:val="0"/>
        <w:numId w:val="15"/>
      </w:numPr>
      <w:spacing w:before="0" w:after="140"/>
      <w:jc w:val="both"/>
    </w:pPr>
    <w:rPr/>
  </w:style>
  <w:style w:type="paragraph" w:styleId="roman1">
    <w:name w:val="roman 1"/>
    <w:basedOn w:val="Normal"/>
    <w:qFormat/>
    <w:pPr>
      <w:numPr>
        <w:ilvl w:val="0"/>
        <w:numId w:val="19"/>
      </w:numPr>
      <w:spacing w:before="0" w:after="140"/>
      <w:jc w:val="both"/>
    </w:pPr>
    <w:rPr/>
  </w:style>
  <w:style w:type="paragraph" w:styleId="roman2">
    <w:name w:val="roman 2"/>
    <w:basedOn w:val="Normal"/>
    <w:qFormat/>
    <w:pPr>
      <w:numPr>
        <w:ilvl w:val="0"/>
        <w:numId w:val="6"/>
      </w:numPr>
      <w:spacing w:before="0" w:after="140"/>
      <w:jc w:val="both"/>
    </w:pPr>
    <w:rPr/>
  </w:style>
  <w:style w:type="paragraph" w:styleId="roman3">
    <w:name w:val="roman 3"/>
    <w:basedOn w:val="Normal"/>
    <w:qFormat/>
    <w:pPr>
      <w:numPr>
        <w:ilvl w:val="0"/>
        <w:numId w:val="4"/>
      </w:numPr>
      <w:spacing w:before="0" w:after="140"/>
      <w:jc w:val="both"/>
    </w:pPr>
    <w:rPr/>
  </w:style>
  <w:style w:type="paragraph" w:styleId="SchedApps">
    <w:name w:val="Sched/Apps"/>
    <w:basedOn w:val="Normal"/>
    <w:next w:val="Body"/>
    <w:qFormat/>
    <w:pPr>
      <w:keepNext w:val="true"/>
      <w:keepLines/>
      <w:pageBreakBefore/>
      <w:spacing w:before="0" w:after="240"/>
      <w:jc w:val="center"/>
      <w:outlineLvl w:val="3"/>
    </w:pPr>
    <w:rPr>
      <w:b/>
      <w:sz w:val="23"/>
    </w:rPr>
  </w:style>
  <w:style w:type="paragraph" w:styleId="Schedule1">
    <w:name w:val="Schedule 1"/>
    <w:basedOn w:val="Normal"/>
    <w:qFormat/>
    <w:pPr>
      <w:numPr>
        <w:ilvl w:val="0"/>
        <w:numId w:val="24"/>
      </w:numPr>
      <w:spacing w:before="0" w:after="140"/>
      <w:jc w:val="both"/>
    </w:pPr>
    <w:rPr/>
  </w:style>
  <w:style w:type="paragraph" w:styleId="Schedule2">
    <w:name w:val="Schedule 2"/>
    <w:basedOn w:val="Normal"/>
    <w:qFormat/>
    <w:pPr>
      <w:numPr>
        <w:ilvl w:val="0"/>
        <w:numId w:val="24"/>
      </w:numPr>
      <w:spacing w:before="0" w:after="140"/>
      <w:jc w:val="both"/>
    </w:pPr>
    <w:rPr/>
  </w:style>
  <w:style w:type="paragraph" w:styleId="Schedule3">
    <w:name w:val="Schedule 3"/>
    <w:basedOn w:val="Normal"/>
    <w:qFormat/>
    <w:pPr>
      <w:numPr>
        <w:ilvl w:val="0"/>
        <w:numId w:val="24"/>
      </w:numPr>
      <w:spacing w:before="0" w:after="140"/>
      <w:jc w:val="both"/>
    </w:pPr>
    <w:rPr/>
  </w:style>
  <w:style w:type="paragraph" w:styleId="Schedule4">
    <w:name w:val="Schedule 4"/>
    <w:basedOn w:val="Normal"/>
    <w:qFormat/>
    <w:pPr>
      <w:numPr>
        <w:ilvl w:val="0"/>
        <w:numId w:val="24"/>
      </w:numPr>
      <w:spacing w:before="0" w:after="140"/>
      <w:jc w:val="both"/>
    </w:pPr>
    <w:rPr/>
  </w:style>
  <w:style w:type="paragraph" w:styleId="Schedule5">
    <w:name w:val="Schedule 5"/>
    <w:basedOn w:val="Normal"/>
    <w:qFormat/>
    <w:pPr>
      <w:numPr>
        <w:ilvl w:val="0"/>
        <w:numId w:val="24"/>
      </w:numPr>
      <w:spacing w:before="0" w:after="140"/>
      <w:jc w:val="both"/>
    </w:pPr>
    <w:rPr/>
  </w:style>
  <w:style w:type="paragraph" w:styleId="Schedule6">
    <w:name w:val="Schedule 6"/>
    <w:basedOn w:val="Normal"/>
    <w:qFormat/>
    <w:pPr>
      <w:numPr>
        <w:ilvl w:val="0"/>
        <w:numId w:val="24"/>
      </w:numPr>
      <w:spacing w:before="0" w:after="140"/>
      <w:jc w:val="both"/>
    </w:pPr>
    <w:rPr/>
  </w:style>
  <w:style w:type="paragraph" w:styleId="TableofAuthorities">
    <w:name w:val="Table of Authorities"/>
    <w:basedOn w:val="Normal"/>
    <w:next w:val="Normal"/>
    <w:qFormat/>
    <w:pPr>
      <w:ind w:hanging="200" w:start="200" w:end="0"/>
    </w:pPr>
    <w:rPr/>
  </w:style>
  <w:style w:type="paragraph" w:styleId="zFSand">
    <w:name w:val="zFSand"/>
    <w:basedOn w:val="Normal"/>
    <w:next w:val="zFSco-names"/>
    <w:qFormat/>
    <w:pPr>
      <w:spacing w:lineRule="auto" w:line="317" w:before="120" w:after="120"/>
      <w:ind w:hanging="0" w:start="567" w:end="567"/>
      <w:jc w:val="center"/>
    </w:pPr>
    <w:rPr>
      <w:w w:val="125"/>
    </w:rPr>
  </w:style>
  <w:style w:type="paragraph" w:styleId="zFSco-names">
    <w:name w:val="zFSco-names"/>
    <w:basedOn w:val="Normal"/>
    <w:next w:val="zFSand"/>
    <w:qFormat/>
    <w:pPr>
      <w:spacing w:lineRule="auto" w:line="317"/>
      <w:ind w:hanging="0" w:start="567" w:end="567"/>
      <w:jc w:val="center"/>
    </w:pPr>
    <w:rPr>
      <w:b/>
      <w:w w:val="125"/>
      <w:sz w:val="24"/>
    </w:rPr>
  </w:style>
  <w:style w:type="paragraph" w:styleId="zFSnarrative">
    <w:name w:val="zFSnarrative"/>
    <w:basedOn w:val="Normal"/>
    <w:qFormat/>
    <w:pPr>
      <w:spacing w:lineRule="auto" w:line="317"/>
      <w:jc w:val="center"/>
    </w:pPr>
    <w:rPr>
      <w:w w:val="125"/>
    </w:rPr>
  </w:style>
  <w:style w:type="paragraph" w:styleId="zFStitle">
    <w:name w:val="zFStitle"/>
    <w:basedOn w:val="Normal"/>
    <w:next w:val="zFSnarrative"/>
    <w:qFormat/>
    <w:pPr>
      <w:keepNext w:val="true"/>
      <w:spacing w:lineRule="auto" w:line="341" w:before="240" w:after="160"/>
      <w:ind w:hanging="0" w:start="567" w:end="567"/>
      <w:jc w:val="center"/>
    </w:pPr>
    <w:rPr>
      <w:b/>
      <w:w w:val="125"/>
      <w:sz w:val="28"/>
    </w:rPr>
  </w:style>
  <w:style w:type="paragraph" w:styleId="EndnoteText">
    <w:name w:val="endnote text"/>
    <w:basedOn w:val="Normal"/>
    <w:pPr/>
    <w:rPr/>
  </w:style>
  <w:style w:type="paragraph" w:styleId="TOC1">
    <w:name w:val="toc 1"/>
    <w:basedOn w:val="Normal"/>
    <w:next w:val="Normal"/>
    <w:pPr>
      <w:spacing w:before="140" w:after="140"/>
      <w:ind w:hanging="680" w:start="680" w:end="425"/>
    </w:pPr>
    <w:rPr/>
  </w:style>
  <w:style w:type="paragraph" w:styleId="TOC2">
    <w:name w:val="toc 2"/>
    <w:basedOn w:val="Normal"/>
    <w:next w:val="Normal"/>
    <w:pPr>
      <w:spacing w:before="140" w:after="140"/>
      <w:ind w:hanging="680" w:start="680" w:end="425"/>
    </w:pPr>
    <w:rPr/>
  </w:style>
  <w:style w:type="paragraph" w:styleId="TOC3">
    <w:name w:val="toc 3"/>
    <w:basedOn w:val="Normal"/>
    <w:next w:val="Normal"/>
    <w:pPr>
      <w:spacing w:before="140" w:after="140"/>
      <w:ind w:hanging="680" w:start="1360" w:end="425"/>
    </w:pPr>
    <w:rPr/>
  </w:style>
  <w:style w:type="paragraph" w:styleId="TOC4">
    <w:name w:val="toc 4"/>
    <w:basedOn w:val="Normal"/>
    <w:next w:val="Normal"/>
    <w:pPr>
      <w:spacing w:before="140" w:after="140"/>
      <w:ind w:hanging="0" w:start="0" w:end="425"/>
    </w:pPr>
    <w:rPr/>
  </w:style>
  <w:style w:type="paragraph" w:styleId="TOC5">
    <w:name w:val="toc 5"/>
    <w:basedOn w:val="Normal"/>
    <w:next w:val="Normal"/>
    <w:pPr/>
    <w:rPr/>
  </w:style>
  <w:style w:type="paragraph" w:styleId="TOC6">
    <w:name w:val="toc 6"/>
    <w:basedOn w:val="Normal"/>
    <w:next w:val="Normal"/>
    <w:pPr/>
    <w:rPr/>
  </w:style>
  <w:style w:type="paragraph" w:styleId="TOC7">
    <w:name w:val="toc 7"/>
    <w:basedOn w:val="Normal"/>
    <w:next w:val="Normal"/>
    <w:pPr/>
    <w:rPr/>
  </w:style>
  <w:style w:type="paragraph" w:styleId="TOC8">
    <w:name w:val="toc 8"/>
    <w:basedOn w:val="Normal"/>
    <w:next w:val="Normal"/>
    <w:pPr/>
    <w:rPr/>
  </w:style>
  <w:style w:type="paragraph" w:styleId="TOC9">
    <w:name w:val="toc 9"/>
    <w:basedOn w:val="Normal"/>
    <w:next w:val="Normal"/>
    <w:pPr/>
    <w:rPr/>
  </w:style>
  <w:style w:type="paragraph" w:styleId="TCLevel1">
    <w:name w:val="T+C Level 1"/>
    <w:basedOn w:val="Body"/>
    <w:next w:val="TCLevel2"/>
    <w:qFormat/>
    <w:pPr>
      <w:keepNext w:val="true"/>
      <w:numPr>
        <w:ilvl w:val="0"/>
        <w:numId w:val="23"/>
      </w:numPr>
      <w:spacing w:before="140" w:after="0"/>
    </w:pPr>
    <w:rPr>
      <w:b/>
    </w:rPr>
  </w:style>
  <w:style w:type="paragraph" w:styleId="TCLevel2">
    <w:name w:val="T+C Level 2"/>
    <w:basedOn w:val="Body"/>
    <w:qFormat/>
    <w:pPr>
      <w:numPr>
        <w:ilvl w:val="0"/>
        <w:numId w:val="23"/>
      </w:numPr>
      <w:ind w:hanging="680" w:start="1360" w:end="0"/>
    </w:pPr>
    <w:rPr/>
  </w:style>
  <w:style w:type="paragraph" w:styleId="TCLevel3">
    <w:name w:val="T+C Level 3"/>
    <w:basedOn w:val="Body"/>
    <w:qFormat/>
    <w:pPr>
      <w:numPr>
        <w:ilvl w:val="0"/>
        <w:numId w:val="23"/>
      </w:numPr>
    </w:pPr>
    <w:rPr/>
  </w:style>
  <w:style w:type="paragraph" w:styleId="TCLevel4">
    <w:name w:val="T+C Level 4"/>
    <w:basedOn w:val="Body"/>
    <w:qFormat/>
    <w:pPr>
      <w:numPr>
        <w:ilvl w:val="0"/>
        <w:numId w:val="23"/>
      </w:numPr>
    </w:pPr>
    <w:rPr/>
  </w:style>
  <w:style w:type="paragraph" w:styleId="zFSdate">
    <w:name w:val="zFSdate"/>
    <w:basedOn w:val="Normal"/>
    <w:next w:val="zFSco-names"/>
    <w:qFormat/>
    <w:pPr>
      <w:spacing w:lineRule="auto" w:line="317" w:before="0" w:after="120"/>
      <w:ind w:hanging="0" w:start="567" w:end="567"/>
      <w:jc w:val="center"/>
    </w:pPr>
    <w:rPr>
      <w:w w:val="125"/>
    </w:rPr>
  </w:style>
  <w:style w:type="paragraph" w:styleId="SubHead">
    <w:name w:val="SubHead"/>
    <w:basedOn w:val="Normal"/>
    <w:next w:val="Body"/>
    <w:qFormat/>
    <w:pPr>
      <w:keepNext w:val="true"/>
      <w:keepLines/>
      <w:spacing w:before="60" w:after="60"/>
      <w:jc w:val="both"/>
    </w:pPr>
    <w:rPr>
      <w:b/>
      <w:sz w:val="21"/>
    </w:rPr>
  </w:style>
  <w:style w:type="paragraph" w:styleId="alpha4">
    <w:name w:val="alpha 4"/>
    <w:basedOn w:val="Normal"/>
    <w:qFormat/>
    <w:pPr>
      <w:numPr>
        <w:ilvl w:val="0"/>
        <w:numId w:val="22"/>
      </w:numPr>
      <w:spacing w:before="0" w:after="140"/>
      <w:jc w:val="both"/>
    </w:pPr>
    <w:rPr/>
  </w:style>
  <w:style w:type="paragraph" w:styleId="alpha5">
    <w:name w:val="alpha 5"/>
    <w:basedOn w:val="Normal"/>
    <w:qFormat/>
    <w:pPr>
      <w:numPr>
        <w:ilvl w:val="0"/>
        <w:numId w:val="13"/>
      </w:numPr>
      <w:spacing w:before="0" w:after="140"/>
      <w:jc w:val="both"/>
    </w:pPr>
    <w:rPr/>
  </w:style>
  <w:style w:type="paragraph" w:styleId="alpha6">
    <w:name w:val="alpha 6"/>
    <w:basedOn w:val="Normal"/>
    <w:qFormat/>
    <w:pPr>
      <w:numPr>
        <w:ilvl w:val="0"/>
        <w:numId w:val="21"/>
      </w:numPr>
      <w:spacing w:before="0" w:after="140"/>
      <w:jc w:val="both"/>
    </w:pPr>
    <w:rPr/>
  </w:style>
  <w:style w:type="paragraph" w:styleId="roman4">
    <w:name w:val="roman 4"/>
    <w:basedOn w:val="Normal"/>
    <w:qFormat/>
    <w:pPr>
      <w:numPr>
        <w:ilvl w:val="0"/>
        <w:numId w:val="5"/>
      </w:numPr>
      <w:spacing w:before="0" w:after="140"/>
      <w:jc w:val="both"/>
    </w:pPr>
    <w:rPr/>
  </w:style>
  <w:style w:type="paragraph" w:styleId="roman5">
    <w:name w:val="roman 5"/>
    <w:basedOn w:val="Normal"/>
    <w:qFormat/>
    <w:pPr>
      <w:numPr>
        <w:ilvl w:val="0"/>
        <w:numId w:val="10"/>
      </w:numPr>
      <w:tabs>
        <w:tab w:val="clear" w:pos="567"/>
        <w:tab w:val="left" w:pos="3289" w:leader="none"/>
      </w:tabs>
      <w:spacing w:before="0" w:after="140"/>
      <w:jc w:val="both"/>
    </w:pPr>
    <w:rPr/>
  </w:style>
  <w:style w:type="paragraph" w:styleId="roman6">
    <w:name w:val="roman 6"/>
    <w:basedOn w:val="Normal"/>
    <w:qFormat/>
    <w:pPr>
      <w:numPr>
        <w:ilvl w:val="0"/>
        <w:numId w:val="3"/>
      </w:numPr>
      <w:spacing w:before="0" w:after="140"/>
      <w:jc w:val="both"/>
    </w:pPr>
    <w:rPr/>
  </w:style>
  <w:style w:type="paragraph" w:styleId="Bullet4">
    <w:name w:val="Bullet 4"/>
    <w:basedOn w:val="Normal"/>
    <w:qFormat/>
    <w:pPr>
      <w:numPr>
        <w:ilvl w:val="0"/>
        <w:numId w:val="7"/>
      </w:numPr>
      <w:spacing w:before="0" w:after="140"/>
      <w:jc w:val="both"/>
    </w:pPr>
    <w:rPr/>
  </w:style>
  <w:style w:type="paragraph" w:styleId="Bullet5">
    <w:name w:val="Bullet 5"/>
    <w:basedOn w:val="Normal"/>
    <w:qFormat/>
    <w:pPr>
      <w:numPr>
        <w:ilvl w:val="0"/>
        <w:numId w:val="11"/>
      </w:numPr>
      <w:spacing w:before="0" w:after="140"/>
      <w:jc w:val="both"/>
    </w:pPr>
    <w:rPr/>
  </w:style>
  <w:style w:type="paragraph" w:styleId="Bullet6">
    <w:name w:val="Bullet 6"/>
    <w:basedOn w:val="Normal"/>
    <w:qFormat/>
    <w:pPr>
      <w:numPr>
        <w:ilvl w:val="0"/>
        <w:numId w:val="26"/>
      </w:numPr>
      <w:spacing w:before="0" w:after="140"/>
      <w:jc w:val="both"/>
    </w:pPr>
    <w:rPr/>
  </w:style>
  <w:style w:type="paragraph" w:styleId="ALevel2F">
    <w:name w:val="ALevel 2F"/>
    <w:basedOn w:val="Normal"/>
    <w:qFormat/>
    <w:pPr>
      <w:numPr>
        <w:ilvl w:val="0"/>
        <w:numId w:val="8"/>
      </w:numPr>
      <w:spacing w:before="0" w:after="140"/>
      <w:jc w:val="both"/>
      <w:outlineLvl w:val="1"/>
    </w:pPr>
    <w:rPr>
      <w:lang w:val="fr-FR"/>
    </w:rPr>
  </w:style>
  <w:style w:type="paragraph" w:styleId="1erLevel2F">
    <w:name w:val="1erLevel2F"/>
    <w:basedOn w:val="ALevel2F"/>
    <w:qFormat/>
    <w:pPr>
      <w:numPr>
        <w:ilvl w:val="0"/>
        <w:numId w:val="20"/>
      </w:numPr>
    </w:pPr>
    <w:rPr/>
  </w:style>
  <w:style w:type="paragraph" w:styleId="1erLevel3F">
    <w:name w:val="1erLevel3F"/>
    <w:basedOn w:val="1erLevel2F"/>
    <w:qFormat/>
    <w:pPr>
      <w:numPr>
        <w:ilvl w:val="0"/>
        <w:numId w:val="20"/>
      </w:numPr>
      <w:outlineLvl w:val="2"/>
    </w:pPr>
    <w:rPr/>
  </w:style>
  <w:style w:type="paragraph" w:styleId="ALevel3F">
    <w:name w:val="ALevel 3F"/>
    <w:basedOn w:val="Normal"/>
    <w:qFormat/>
    <w:pPr>
      <w:numPr>
        <w:ilvl w:val="0"/>
        <w:numId w:val="8"/>
      </w:numPr>
      <w:spacing w:before="0" w:after="140"/>
      <w:jc w:val="both"/>
      <w:outlineLvl w:val="2"/>
    </w:pPr>
    <w:rPr>
      <w:lang w:val="fr-FR"/>
    </w:rPr>
  </w:style>
  <w:style w:type="paragraph" w:styleId="ARTICLE">
    <w:name w:val="ARTICLE"/>
    <w:basedOn w:val="Normal"/>
    <w:next w:val="Normal"/>
    <w:qFormat/>
    <w:pPr>
      <w:numPr>
        <w:ilvl w:val="0"/>
        <w:numId w:val="8"/>
      </w:numPr>
      <w:spacing w:before="0" w:after="140"/>
      <w:jc w:val="both"/>
      <w:outlineLvl w:val="0"/>
    </w:pPr>
    <w:rPr>
      <w:b/>
      <w:kern w:val="0"/>
      <w:lang w:val="fr-FR"/>
    </w:rPr>
  </w:style>
  <w:style w:type="paragraph" w:styleId="ARTICLE1er">
    <w:name w:val="ARTICLE 1er"/>
    <w:basedOn w:val="ARTICLE"/>
    <w:next w:val="Normal"/>
    <w:qFormat/>
    <w:pPr>
      <w:numPr>
        <w:ilvl w:val="0"/>
        <w:numId w:val="20"/>
      </w:numPr>
    </w:pPr>
    <w:rPr/>
  </w:style>
  <w:style w:type="paragraph" w:styleId="zFSDate1">
    <w:name w:val="zFSDate1"/>
    <w:basedOn w:val="Normal"/>
    <w:qFormat/>
    <w:pPr>
      <w:jc w:val="center"/>
    </w:pPr>
    <w:rPr/>
  </w:style>
  <w:style w:type="paragraph" w:styleId="zFSFooter">
    <w:name w:val="zFSFooter"/>
    <w:basedOn w:val="Normal"/>
    <w:qFormat/>
    <w:pPr>
      <w:tabs>
        <w:tab w:val="clear" w:pos="567"/>
        <w:tab w:val="left" w:pos="6521" w:leader="none"/>
      </w:tabs>
      <w:spacing w:before="0" w:after="40"/>
      <w:ind w:hanging="0" w:start="-108" w:end="0"/>
    </w:pPr>
    <w:rPr>
      <w:sz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HouseStyle2.dot</Template>
  <TotalTime>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2000-06-20T22:26:00Z</dcterms:created>
  <dc:creator>Any Authorised User</dc:creator>
  <dc:description/>
  <cp:keywords>Draft: Draft Linklaters/JYD/27/05/99  Ref:</cp:keywords>
  <dc:language>en-CA</dc:language>
  <cp:lastModifiedBy>mtaylo1</cp:lastModifiedBy>
  <cp:lastPrinted>2000-06-20T19:49:00Z</cp:lastPrinted>
  <dcterms:modified xsi:type="dcterms:W3CDTF">2000-06-20T23:20:00Z</dcterms:modified>
  <cp:revision>4</cp:revision>
  <dc:subject>Narrative: </dc:subject>
  <dc:title>Dated [                      ] May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
  </property>
  <property fmtid="{D5CDD505-2E9C-101B-9397-08002B2CF9AE}" pid="3" name="Document Number">
    <vt:lpwstr>A00752163</vt:lpwstr>
  </property>
  <property fmtid="{D5CDD505-2E9C-101B-9397-08002B2CF9AE}" pid="4" name="Last Modified">
    <vt:lpwstr>20 Jun 2000</vt:lpwstr>
  </property>
  <property fmtid="{D5CDD505-2E9C-101B-9397-08002B2CF9AE}" pid="5" name="Matter Number">
    <vt:lpwstr/>
  </property>
  <property fmtid="{D5CDD505-2E9C-101B-9397-08002B2CF9AE}" pid="6" name="Recipient Company">
    <vt:lpwstr/>
  </property>
  <property fmtid="{D5CDD505-2E9C-101B-9397-08002B2CF9AE}" pid="7" name="Recipient Name">
    <vt:lpwstr/>
  </property>
  <property fmtid="{D5CDD505-2E9C-101B-9397-08002B2CF9AE}" pid="8" name="TemplateNumber">
    <vt:lpwstr>000002</vt:lpwstr>
  </property>
  <property fmtid="{D5CDD505-2E9C-101B-9397-08002B2CF9AE}" pid="9" name="TemplateVersion">
    <vt:lpwstr>2.0.5</vt:lpwstr>
  </property>
  <property fmtid="{D5CDD505-2E9C-101B-9397-08002B2CF9AE}" pid="10" name="Version">
    <vt:lpwstr>0.7</vt:lpwstr>
  </property>
</Properties>
</file>