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Back Office Model Main Assumptions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Target counter-parties: 536 (Based on North American Market CPs times 2). This number will be modified according to the following parameters:</w:t>
      </w:r>
    </w:p>
    <w:p>
      <w:pPr>
        <w:pStyle w:val="Normal"/>
        <w:numPr>
          <w:ilvl w:val="1"/>
          <w:numId w:val="4"/>
        </w:numPr>
        <w:rPr/>
      </w:pPr>
      <w:r>
        <w:rPr/>
        <w:t>Consider gas and power customers (Who is Who in Natural Gas, Electric Power Industry OPIS Directory, etc.)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Breakdown by type of customer, e.g. Broker, Equipment, LDC, Producer, etc. </w:t>
      </w:r>
    </w:p>
    <w:p>
      <w:pPr>
        <w:pStyle w:val="Normal"/>
        <w:numPr>
          <w:ilvl w:val="1"/>
          <w:numId w:val="4"/>
        </w:numPr>
        <w:rPr/>
      </w:pPr>
      <w:r>
        <w:rPr/>
        <w:t>Specific targeting criteria according to the type of customer</w:t>
      </w:r>
    </w:p>
    <w:p>
      <w:pPr>
        <w:pStyle w:val="Normal"/>
        <w:numPr>
          <w:ilvl w:val="0"/>
          <w:numId w:val="4"/>
        </w:numPr>
        <w:rPr/>
      </w:pPr>
      <w:r>
        <w:rPr/>
        <w:t>Enron captures 50% of the potential customer transactions</w:t>
      </w:r>
    </w:p>
    <w:p>
      <w:pPr>
        <w:pStyle w:val="Normal"/>
        <w:numPr>
          <w:ilvl w:val="0"/>
          <w:numId w:val="4"/>
        </w:numPr>
        <w:rPr/>
      </w:pPr>
      <w:r>
        <w:rPr/>
        <w:t>Out of that we have the following breakdown:</w:t>
      </w:r>
    </w:p>
    <w:p>
      <w:pPr>
        <w:pStyle w:val="Normal"/>
        <w:numPr>
          <w:ilvl w:val="1"/>
          <w:numId w:val="1"/>
        </w:numPr>
        <w:rPr/>
      </w:pPr>
      <w:r>
        <w:rPr/>
        <w:t>46% is physical gas</w:t>
      </w:r>
    </w:p>
    <w:p>
      <w:pPr>
        <w:pStyle w:val="Normal"/>
        <w:numPr>
          <w:ilvl w:val="1"/>
          <w:numId w:val="1"/>
        </w:numPr>
        <w:rPr/>
      </w:pPr>
      <w:r>
        <w:rPr/>
        <w:t>33% is financial gas</w:t>
      </w:r>
    </w:p>
    <w:p>
      <w:pPr>
        <w:pStyle w:val="Normal"/>
        <w:numPr>
          <w:ilvl w:val="1"/>
          <w:numId w:val="1"/>
        </w:numPr>
        <w:rPr/>
      </w:pPr>
      <w:r>
        <w:rPr/>
        <w:t>21% is power</w:t>
      </w:r>
    </w:p>
    <w:p>
      <w:pPr>
        <w:pStyle w:val="Normal"/>
        <w:numPr>
          <w:ilvl w:val="1"/>
          <w:numId w:val="1"/>
        </w:numPr>
        <w:rPr/>
      </w:pPr>
      <w:r>
        <w:rPr/>
        <w:t>66% is EOL</w:t>
      </w:r>
    </w:p>
    <w:p>
      <w:pPr>
        <w:pStyle w:val="Normal"/>
        <w:numPr>
          <w:ilvl w:val="1"/>
          <w:numId w:val="1"/>
        </w:numPr>
        <w:rPr/>
      </w:pPr>
      <w:r>
        <w:rPr/>
        <w:t>34% is non-EOL (fax, phone, other)</w:t>
      </w:r>
    </w:p>
    <w:p>
      <w:pPr>
        <w:pStyle w:val="Normal"/>
        <w:numPr>
          <w:ilvl w:val="0"/>
          <w:numId w:val="4"/>
        </w:numPr>
        <w:rPr/>
      </w:pPr>
      <w:r>
        <w:rPr/>
        <w:t>The current model assumes a total of 264 daily transactions (based on counterpart activity with Enron in the  North American Market)</w:t>
      </w:r>
    </w:p>
    <w:p>
      <w:pPr>
        <w:pStyle w:val="Normal"/>
        <w:numPr>
          <w:ilvl w:val="0"/>
          <w:numId w:val="4"/>
        </w:numPr>
        <w:rPr/>
      </w:pPr>
      <w:r>
        <w:rPr/>
        <w:t>The following market penetration in a 10 year interval: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Low Case: 0% to 10%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Expected Case: 2% to 36% </w:t>
      </w:r>
    </w:p>
    <w:p>
      <w:pPr>
        <w:pStyle w:val="Normal"/>
        <w:numPr>
          <w:ilvl w:val="0"/>
          <w:numId w:val="3"/>
        </w:numPr>
        <w:rPr/>
      </w:pPr>
      <w:r>
        <w:rPr/>
        <w:t>High Case: 5% to 65%</w:t>
      </w:r>
    </w:p>
    <w:p>
      <w:pPr>
        <w:pStyle w:val="Normal"/>
        <w:numPr>
          <w:ilvl w:val="0"/>
          <w:numId w:val="4"/>
        </w:numPr>
        <w:rPr/>
      </w:pPr>
      <w:r>
        <w:rPr/>
        <w:t>Price declines 33% in a 10 year interval (decrease in margin)</w:t>
      </w:r>
    </w:p>
    <w:p>
      <w:pPr>
        <w:pStyle w:val="Normal"/>
        <w:numPr>
          <w:ilvl w:val="0"/>
          <w:numId w:val="4"/>
        </w:numPr>
        <w:rPr/>
      </w:pPr>
      <w:r>
        <w:rPr/>
        <w:t>The sales price includes a 75% margin (Cost x 4)</w:t>
      </w:r>
    </w:p>
    <w:p>
      <w:pPr>
        <w:pStyle w:val="Normal"/>
        <w:numPr>
          <w:ilvl w:val="0"/>
          <w:numId w:val="4"/>
        </w:numPr>
        <w:rPr/>
      </w:pPr>
      <w:r>
        <w:rPr/>
        <w:t>The following cost are added:</w:t>
      </w:r>
    </w:p>
    <w:p>
      <w:pPr>
        <w:pStyle w:val="Normal"/>
        <w:numPr>
          <w:ilvl w:val="0"/>
          <w:numId w:val="2"/>
        </w:numPr>
        <w:rPr/>
      </w:pPr>
      <w:r>
        <w:rPr/>
        <w:t>Legal: 10k / customer</w:t>
      </w:r>
    </w:p>
    <w:p>
      <w:pPr>
        <w:pStyle w:val="Normal"/>
        <w:numPr>
          <w:ilvl w:val="0"/>
          <w:numId w:val="2"/>
        </w:numPr>
        <w:rPr/>
      </w:pPr>
      <w:r>
        <w:rPr/>
        <w:t>Accounting: 1k / customer</w:t>
      </w:r>
    </w:p>
    <w:p>
      <w:pPr>
        <w:pStyle w:val="Normal"/>
        <w:numPr>
          <w:ilvl w:val="0"/>
          <w:numId w:val="2"/>
        </w:numPr>
        <w:rPr/>
      </w:pPr>
      <w:r>
        <w:rPr/>
        <w:t>Customer Relations: 1 Mgr / 50 customers</w:t>
      </w:r>
    </w:p>
    <w:p>
      <w:pPr>
        <w:pStyle w:val="Normal"/>
        <w:numPr>
          <w:ilvl w:val="0"/>
          <w:numId w:val="2"/>
        </w:numPr>
        <w:rPr/>
      </w:pPr>
      <w:r>
        <w:rPr/>
        <w:t>Customer Service: 1 CSR / 10 customers</w:t>
      </w:r>
    </w:p>
    <w:p>
      <w:pPr>
        <w:pStyle w:val="Normal"/>
        <w:numPr>
          <w:ilvl w:val="0"/>
          <w:numId w:val="2"/>
        </w:numPr>
        <w:rPr/>
      </w:pPr>
      <w:r>
        <w:rPr/>
        <w:t>Marketing: 1 VP / 50 customers</w:t>
      </w:r>
    </w:p>
    <w:p>
      <w:pPr>
        <w:pStyle w:val="Normal"/>
        <w:numPr>
          <w:ilvl w:val="0"/>
          <w:numId w:val="2"/>
        </w:numPr>
        <w:rPr/>
      </w:pPr>
      <w:r>
        <w:rPr/>
        <w:t>Marketing: 1 Mgr /  20 customers</w:t>
      </w:r>
    </w:p>
    <w:p>
      <w:pPr>
        <w:pStyle w:val="Normal"/>
        <w:numPr>
          <w:ilvl w:val="0"/>
          <w:numId w:val="4"/>
        </w:numPr>
        <w:rPr/>
      </w:pPr>
      <w:r>
        <w:rPr/>
        <w:t>Discount rate: 20%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  <w:sz w:val="18"/>
      </w:r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  <w:sz w:val="18"/>
      </w:r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1">
    <w:name w:val="WW8Num1z1"/>
    <w:qFormat/>
    <w:rPr>
      <w:rFonts w:ascii="Symbol" w:hAnsi="Symbol" w:cs="Symbol"/>
      <w:sz w:val="18"/>
    </w:rPr>
  </w:style>
  <w:style w:type="character" w:styleId="WW8Num2z0">
    <w:name w:val="WW8Num2z0"/>
    <w:qFormat/>
    <w:rPr>
      <w:rFonts w:ascii="Symbol" w:hAnsi="Symbol" w:cs="Symbol"/>
      <w:sz w:val="18"/>
    </w:rPr>
  </w:style>
  <w:style w:type="character" w:styleId="WW8Num4z0">
    <w:name w:val="WW8Num4z0"/>
    <w:qFormat/>
    <w:rPr>
      <w:rFonts w:ascii="Symbol" w:hAnsi="Symbol" w:cs="Symbol"/>
      <w:sz w:val="18"/>
    </w:rPr>
  </w:style>
  <w:style w:type="character" w:styleId="WW8Num5z0">
    <w:name w:val="WW8Num5z0"/>
    <w:qFormat/>
    <w:rPr>
      <w:rFonts w:ascii="Symbol" w:hAnsi="Symbol" w:cs="Symbol"/>
      <w:sz w:val="18"/>
    </w:rPr>
  </w:style>
  <w:style w:type="character" w:styleId="WW8Num7z1">
    <w:name w:val="WW8Num7z1"/>
    <w:qFormat/>
    <w:rPr>
      <w:rFonts w:ascii="Symbol" w:hAnsi="Symbol" w:cs="Symbol"/>
      <w:sz w:val="18"/>
    </w:rPr>
  </w:style>
  <w:style w:type="character" w:styleId="WW8Num9z1">
    <w:name w:val="WW8Num9z1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2001-05-04T11:24:00Z</dcterms:created>
  <dc:creator>sloewenb</dc:creator>
  <dc:description/>
  <dc:language>en-CA</dc:language>
  <cp:lastModifiedBy>sloewenb</cp:lastModifiedBy>
  <cp:lastPrinted>2001-05-04T09:09:00Z</cp:lastPrinted>
  <dcterms:modified xsi:type="dcterms:W3CDTF">2001-05-04T11:53:00Z</dcterms:modified>
  <cp:revision>3</cp:revision>
  <dc:subject/>
  <dc:title>Back Office Model Main Assumptions:</dc:title>
</cp:coreProperties>
</file>