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Heading2"/>
        <w:widowControl/>
        <w:pBdr>
          <w:top w:val="single" w:sz="8" w:space="1" w:color="000000"/>
        </w:pBdr>
        <w:ind w:hanging="0" w:start="0" w:end="-36"/>
        <w:jc w:val="both"/>
        <w:rPr>
          <w:rFonts w:ascii="Arial" w:hAnsi="Arial" w:cs="Arial"/>
          <w:i w:val="false"/>
          <w:i w:val="false"/>
          <w:sz w:val="22"/>
        </w:rPr>
      </w:pPr>
      <w:r>
        <w:rPr>
          <w:rFonts w:cs="Arial" w:ascii="Arial" w:hAnsi="Arial"/>
          <w:i w:val="false"/>
          <w:sz w:val="22"/>
        </w:rPr>
        <w:t>DEAL DESCRIPTION</w:t>
      </w:r>
    </w:p>
    <w:p>
      <w:pPr>
        <w:pStyle w:val="Heading2"/>
        <w:widowControl/>
        <w:pBdr>
          <w:top w:val="single" w:sz="8" w:space="1" w:color="000000"/>
        </w:pBdr>
        <w:ind w:hanging="0" w:start="0" w:end="-36"/>
        <w:jc w:val="both"/>
        <w:rPr>
          <w:rFonts w:ascii="Arial" w:hAnsi="Arial" w:cs="Arial"/>
          <w:b w:val="false"/>
          <w:i w:val="false"/>
          <w:i w:val="false"/>
          <w:sz w:val="22"/>
        </w:rPr>
      </w:pPr>
      <w:r>
        <w:rPr>
          <w:rFonts w:cs="Arial" w:ascii="Arial" w:hAnsi="Arial"/>
          <w:b w:val="false"/>
          <w:i w:val="false"/>
          <w:sz w:val="22"/>
        </w:rPr>
      </w:r>
    </w:p>
    <w:p>
      <w:pPr>
        <w:pStyle w:val="BodyText2"/>
        <w:jc w:val="both"/>
        <w:rPr/>
      </w:pPr>
      <w:r>
        <w:rPr>
          <w:color w:val="000000"/>
          <w:sz w:val="22"/>
        </w:rPr>
        <w:t>Approval to sell 100% of Enron's 40% equity position in the JV company Hanover/Enron Venezuela Ltd for a negotiated price of U.S. $3,050 M, (a net price of US$[2.7]MM</w:t>
      </w:r>
      <w:r>
        <w:rPr>
          <w:rStyle w:val="FootnoteCharacters"/>
          <w:rStyle w:val="FootnoteReference"/>
          <w:color w:val="000000"/>
          <w:sz w:val="22"/>
        </w:rPr>
        <w:footnoteReference w:id="2"/>
      </w:r>
      <w:r>
        <w:rPr>
          <w:color w:val="000000"/>
          <w:sz w:val="22"/>
        </w:rPr>
        <w:t>).</w:t>
      </w:r>
    </w:p>
    <w:p>
      <w:pPr>
        <w:pStyle w:val="BodyText2"/>
        <w:rPr>
          <w:color w:val="000000"/>
          <w:sz w:val="22"/>
        </w:rPr>
      </w:pPr>
      <w:r>
        <w:rPr>
          <w:color w:val="000000"/>
          <w:sz w:val="22"/>
        </w:rPr>
      </w:r>
    </w:p>
    <w:p>
      <w:pPr>
        <w:pStyle w:val="Normal"/>
        <w:jc w:val="both"/>
        <w:rPr>
          <w:sz w:val="22"/>
        </w:rPr>
      </w:pPr>
      <w:r>
        <w:rPr>
          <w:rFonts w:cs="Arial" w:ascii="Arial" w:hAnsi="Arial"/>
          <w:b/>
          <w:color w:val="000000"/>
        </w:rPr>
        <w:t>Current Status:</w:t>
      </w:r>
    </w:p>
    <w:p>
      <w:pPr>
        <w:pStyle w:val="BodyText2"/>
        <w:rPr>
          <w:color w:val="000000"/>
          <w:sz w:val="22"/>
        </w:rPr>
      </w:pPr>
      <w:r>
        <w:rPr>
          <w:color w:val="000000"/>
          <w:sz w:val="22"/>
        </w:rPr>
      </w:r>
    </w:p>
    <w:p>
      <w:pPr>
        <w:pStyle w:val="BodyText2"/>
        <w:jc w:val="both"/>
        <w:rPr>
          <w:color w:val="000000"/>
          <w:sz w:val="22"/>
        </w:rPr>
      </w:pPr>
      <w:r>
        <w:rPr>
          <w:color w:val="000000"/>
          <w:sz w:val="22"/>
        </w:rPr>
        <w:t>The Share Purchase and Sale agreement has been drafted by Enron and has been negotiated with Hanover.  We are expecting to officially close the deal on June 13, 2001 at 10:00 a.m. CDT.</w:t>
      </w:r>
    </w:p>
    <w:p>
      <w:pPr>
        <w:pStyle w:val="BodyText2"/>
        <w:jc w:val="both"/>
        <w:rPr>
          <w:color w:val="000000"/>
          <w:sz w:val="22"/>
        </w:rPr>
      </w:pPr>
      <w:r>
        <w:rPr>
          <w:color w:val="000000"/>
          <w:sz w:val="22"/>
        </w:rPr>
      </w:r>
    </w:p>
    <w:p>
      <w:pPr>
        <w:pStyle w:val="BodyText2"/>
        <w:jc w:val="both"/>
        <w:rPr>
          <w:color w:val="000000"/>
          <w:sz w:val="22"/>
        </w:rPr>
      </w:pPr>
      <w:r>
        <w:rPr>
          <w:color w:val="000000"/>
          <w:sz w:val="22"/>
        </w:rPr>
        <w:t>The accounting, legal and tax departments have reviewed the purchase and sale agreement, including the evaluation of all the tax and accounting impacts, which are detailed below.</w:t>
      </w:r>
    </w:p>
    <w:p>
      <w:pPr>
        <w:pStyle w:val="BodyText2"/>
        <w:rPr>
          <w:color w:val="000000"/>
          <w:sz w:val="22"/>
        </w:rPr>
      </w:pPr>
      <w:r>
        <w:rPr>
          <w:color w:val="000000"/>
          <w:sz w:val="22"/>
        </w:rPr>
      </w:r>
    </w:p>
    <w:p>
      <w:pPr>
        <w:pStyle w:val="BodyText2"/>
        <w:rPr>
          <w:rFonts w:ascii="Arial" w:hAnsi="Arial" w:cs="Arial"/>
          <w:b/>
          <w:bCs/>
          <w:color w:val="000000"/>
        </w:rPr>
      </w:pPr>
      <w:r>
        <w:rPr>
          <w:rFonts w:cs="Arial" w:ascii="Arial" w:hAnsi="Arial"/>
          <w:b/>
          <w:bCs/>
          <w:color w:val="000000"/>
        </w:rPr>
        <w:t>The Asset:</w:t>
        <w:tab/>
      </w:r>
    </w:p>
    <w:p>
      <w:pPr>
        <w:pStyle w:val="BodyText2"/>
        <w:rPr>
          <w:rFonts w:ascii="Arial" w:hAnsi="Arial" w:cs="Arial"/>
          <w:b/>
          <w:bCs/>
          <w:color w:val="000000"/>
          <w:sz w:val="22"/>
        </w:rPr>
      </w:pPr>
      <w:r>
        <w:rPr>
          <w:rFonts w:cs="Arial" w:ascii="Arial" w:hAnsi="Arial"/>
          <w:b/>
          <w:bCs/>
          <w:color w:val="000000"/>
          <w:sz w:val="22"/>
        </w:rPr>
      </w:r>
    </w:p>
    <w:p>
      <w:pPr>
        <w:pStyle w:val="BodyText2"/>
        <w:jc w:val="both"/>
        <w:rPr>
          <w:color w:val="000000"/>
          <w:sz w:val="22"/>
        </w:rPr>
      </w:pPr>
      <w:r>
        <w:rPr>
          <w:color w:val="000000"/>
          <w:sz w:val="22"/>
        </w:rPr>
        <w:t>The Bachaquero Compression Project is a joint venture between Enron (40%) and Hanover Compressor Company (60%).  The project company, Hanover/Enron Venezuela, Ltd. (the “Company”) provides compression services for PDVSA operations in the Bachaquero Field located in Lake Maracaibo, State of Zulia, Venezuela.  These services are performed under a four year and seven month build-own-operate (BOO) contract (seven months to build, four years to operate).  The facility is located on an offshore platform in the lake and has the capacity to compress 110 MMSCFPD of natural gas with a take-or-pay provision for (90MMSCFPD).  Conversely, PDVSA will not pay for any volumes over 110 MMSCFPD.   Operations began in the spring of 1998.</w:t>
      </w:r>
    </w:p>
    <w:p>
      <w:pPr>
        <w:pStyle w:val="Normal"/>
        <w:jc w:val="both"/>
        <w:rPr>
          <w:color w:val="000000"/>
          <w:sz w:val="22"/>
        </w:rPr>
      </w:pPr>
      <w:r>
        <w:rPr>
          <w:color w:val="000000"/>
          <w:sz w:val="22"/>
        </w:rPr>
      </w:r>
    </w:p>
    <w:p>
      <w:pPr>
        <w:pStyle w:val="Normal"/>
        <w:jc w:val="both"/>
        <w:rPr>
          <w:sz w:val="22"/>
        </w:rPr>
      </w:pPr>
      <w:r>
        <w:rPr>
          <w:sz w:val="22"/>
        </w:rPr>
        <w:t>Enron Engineering and Construction Company (“EE&amp;CC”) provided supplies and completed construction under a turnkey Engineering, Procurement and Construction (“EPC”) contract.  Hanover-PGN Compressor, S.A. is the operator and the administrator of the Company under an O&amp;M Agreement and Administration Services Agreement dated August 29, 1997 between Hanover/Enron Venezuela, Ltd. and Hanover-PGN.</w:t>
      </w:r>
    </w:p>
    <w:p>
      <w:pPr>
        <w:pStyle w:val="Normal"/>
        <w:jc w:val="both"/>
        <w:rPr>
          <w:sz w:val="22"/>
        </w:rPr>
      </w:pPr>
      <w:r>
        <w:rPr>
          <w:sz w:val="22"/>
        </w:rPr>
      </w:r>
    </w:p>
    <w:p>
      <w:pPr>
        <w:pStyle w:val="BodyText2"/>
        <w:jc w:val="both"/>
        <w:rPr>
          <w:color w:val="000000"/>
          <w:sz w:val="22"/>
        </w:rPr>
      </w:pPr>
      <w:r>
        <w:rPr>
          <w:color w:val="000000"/>
          <w:sz w:val="22"/>
        </w:rPr>
        <w:t xml:space="preserve">The compression facility comprises four Caterpillar engines (4,500hp/each) and four Ariel compressors capable of handling some 120mmcfd (suction pressure 350psig, discharge pressure at 1,300psig). </w:t>
      </w:r>
    </w:p>
    <w:p>
      <w:pPr>
        <w:pStyle w:val="Normal"/>
        <w:jc w:val="both"/>
        <w:rPr>
          <w:color w:val="000000"/>
          <w:sz w:val="22"/>
        </w:rPr>
      </w:pPr>
      <w:r>
        <w:rPr>
          <w:color w:val="000000"/>
          <w:sz w:val="22"/>
        </w:rPr>
      </w:r>
    </w:p>
    <w:p>
      <w:pPr>
        <w:pStyle w:val="BodyText2"/>
        <w:jc w:val="both"/>
        <w:rPr>
          <w:rFonts w:ascii="Arial" w:hAnsi="Arial" w:cs="Arial"/>
          <w:color w:val="008000"/>
        </w:rPr>
      </w:pPr>
      <w:r>
        <w:rPr>
          <w:color w:val="000000"/>
          <w:sz w:val="22"/>
        </w:rPr>
        <w:t>The Company entered into a loan agreement (the Agreement) with Compression Projects Finance Ltd.  (CPFL - a 100% Enron affiliate).  The Agreement provided the Company with approximately US$10.4 MM to finance the engineering, design, procurement and construction of the platform and related pipelines, fixtures and improvements. The loan is payable in monthly installments through December 2001, bears interest at 13.07%.  A shareholder of the Company, Hanover Cayman, and a related company, Hanover Compressor Company, guarantee the loan. The loan is payable solely from the Company’s cash flows.  The current loan balance is approximately US$2.0 MM as of May 31, 2001.  In order to make the loan to the Company, CPFL borrowed funds from Enron at approx. 6%.  As of May 31, 2001 the loan to Enron was repaid.  It was paid down earlier because the principal on the note from Enron was paid down faster, due to the lower interest rate.  Thus the $2 MM to be collected by CPFL basically represents the interest spread (13% vs. 6%).  All funds received by CPFL between June and December 2001 will be loaned to Enron at Libor creating additional interest income for EGA.</w:t>
      </w:r>
    </w:p>
    <w:p>
      <w:pPr>
        <w:pStyle w:val="BodyText2"/>
        <w:jc w:val="both"/>
        <w:rPr>
          <w:rFonts w:ascii="Arial" w:hAnsi="Arial" w:cs="Arial"/>
          <w:color w:val="000000"/>
        </w:rPr>
      </w:pPr>
      <w:r>
        <w:rPr>
          <w:rFonts w:cs="Arial" w:ascii="Arial" w:hAnsi="Arial"/>
          <w:color w:val="000000"/>
        </w:rPr>
      </w:r>
    </w:p>
    <w:p>
      <w:pPr>
        <w:pStyle w:val="BodyText2"/>
        <w:jc w:val="both"/>
        <w:rPr>
          <w:color w:val="000000"/>
          <w:sz w:val="22"/>
        </w:rPr>
      </w:pPr>
      <w:r>
        <w:rPr>
          <w:color w:val="000000"/>
          <w:sz w:val="22"/>
        </w:rPr>
        <w:t>Hanover-PGN Compressor, C.A. (“PGN”), a company organized and domiciled under the laws of Venezuela, Operates and maintains the project under an 4-year O&amp;M Agreement with Hanover/Enron Venezuela, Ltd., a Cayman Islands company, effective as of the 29th day of August, 1997.  The O&amp;M agreement is a comprehensive management contract, for a monthly management fee equal.  Enron has no involvement in the day-to-day affairs of Bachaquero.</w:t>
      </w:r>
    </w:p>
    <w:p>
      <w:pPr>
        <w:pStyle w:val="BodyText2"/>
        <w:rPr>
          <w:color w:val="000000"/>
          <w:sz w:val="22"/>
        </w:rPr>
      </w:pPr>
      <w:r>
        <w:rPr>
          <w:color w:val="000000"/>
          <w:sz w:val="22"/>
        </w:rPr>
        <w:t xml:space="preserve"> </w:t>
      </w:r>
    </w:p>
    <w:p>
      <w:pPr>
        <w:pStyle w:val="BodyText2"/>
        <w:rPr>
          <w:color w:val="000000"/>
          <w:sz w:val="22"/>
        </w:rPr>
      </w:pPr>
      <w:r>
        <w:rPr>
          <w:color w:val="000000"/>
          <w:sz w:val="22"/>
        </w:rPr>
      </w:r>
    </w:p>
    <w:p>
      <w:pPr>
        <w:pStyle w:val="Normal"/>
        <w:jc w:val="both"/>
        <w:rPr>
          <w:rFonts w:ascii="Arial" w:hAnsi="Arial" w:cs="Arial"/>
          <w:color w:val="000000"/>
          <w:sz w:val="22"/>
        </w:rPr>
      </w:pPr>
      <w:r>
        <w:rPr>
          <w:rFonts w:cs="Arial" w:ascii="Arial" w:hAnsi="Arial"/>
          <w:color w:val="000000"/>
          <w:sz w:val="22"/>
        </w:rPr>
      </w:r>
      <w:r>
        <w:br w:type="page"/>
      </w:r>
    </w:p>
    <w:p>
      <w:pPr>
        <w:pStyle w:val="Normal"/>
        <w:keepLines/>
        <w:jc w:val="both"/>
        <w:rPr>
          <w:rFonts w:ascii="Arial" w:hAnsi="Arial" w:cs="Arial"/>
          <w:b/>
          <w:color w:val="000000"/>
        </w:rPr>
      </w:pPr>
      <w:r>
        <w:rPr>
          <w:rFonts w:cs="Arial" w:ascii="Arial" w:hAnsi="Arial"/>
          <w:b/>
          <w:color w:val="000000"/>
        </w:rPr>
        <w:t>Terms of the Sale:</w:t>
      </w:r>
    </w:p>
    <w:p>
      <w:pPr>
        <w:pStyle w:val="Normal"/>
        <w:keepLines/>
        <w:jc w:val="both"/>
        <w:rPr>
          <w:rFonts w:ascii="Arial" w:hAnsi="Arial" w:cs="Arial"/>
          <w:b/>
          <w:color w:val="000000"/>
          <w:sz w:val="22"/>
        </w:rPr>
      </w:pPr>
      <w:r>
        <w:rPr>
          <w:rFonts w:cs="Arial" w:ascii="Arial" w:hAnsi="Arial"/>
          <w:b/>
          <w:color w:val="000000"/>
          <w:sz w:val="22"/>
        </w:rPr>
      </w:r>
    </w:p>
    <w:p>
      <w:pPr>
        <w:pStyle w:val="Normal"/>
        <w:keepLines/>
        <w:jc w:val="both"/>
        <w:rPr>
          <w:sz w:val="22"/>
        </w:rPr>
      </w:pPr>
      <w:r>
        <w:rPr>
          <w:sz w:val="22"/>
        </w:rPr>
        <w:t>Purchase Price:  U.S. $3,050 M, in cash.</w:t>
      </w:r>
    </w:p>
    <w:p>
      <w:pPr>
        <w:pStyle w:val="Normal"/>
        <w:keepLines/>
        <w:jc w:val="both"/>
        <w:rPr>
          <w:sz w:val="22"/>
        </w:rPr>
      </w:pPr>
      <w:r>
        <w:rPr>
          <w:sz w:val="22"/>
        </w:rPr>
        <w:t>On the closing date, Hanover will pay to Enron the purchase price by wire transfer of immediately available funds to an account designated by Enron.</w:t>
      </w:r>
    </w:p>
    <w:p>
      <w:pPr>
        <w:pStyle w:val="Normal"/>
        <w:jc w:val="both"/>
        <w:rPr>
          <w:sz w:val="22"/>
        </w:rPr>
      </w:pPr>
      <w:r>
        <w:rPr>
          <w:sz w:val="22"/>
        </w:rPr>
      </w:r>
    </w:p>
    <w:p>
      <w:pPr>
        <w:pStyle w:val="Normal"/>
        <w:jc w:val="both"/>
        <w:rPr>
          <w:rFonts w:ascii="Arial" w:hAnsi="Arial" w:cs="Arial"/>
          <w:b/>
          <w:color w:val="000000"/>
        </w:rPr>
      </w:pPr>
      <w:r>
        <w:rPr>
          <w:rFonts w:cs="Arial" w:ascii="Arial" w:hAnsi="Arial"/>
          <w:b/>
          <w:color w:val="000000"/>
        </w:rPr>
        <w:t>Transaction Rationale:</w:t>
      </w:r>
    </w:p>
    <w:p>
      <w:pPr>
        <w:pStyle w:val="Normal"/>
        <w:jc w:val="both"/>
        <w:rPr>
          <w:rFonts w:ascii="Arial" w:hAnsi="Arial" w:cs="Arial"/>
          <w:b/>
          <w:color w:val="000000"/>
        </w:rPr>
      </w:pPr>
      <w:r>
        <w:rPr>
          <w:rFonts w:cs="Arial" w:ascii="Arial" w:hAnsi="Arial"/>
          <w:b/>
          <w:color w:val="000000"/>
        </w:rPr>
      </w:r>
    </w:p>
    <w:p>
      <w:pPr>
        <w:pStyle w:val="Normal"/>
        <w:jc w:val="both"/>
        <w:rPr>
          <w:sz w:val="22"/>
        </w:rPr>
      </w:pPr>
      <w:r>
        <w:rPr>
          <w:sz w:val="22"/>
        </w:rPr>
        <w:t>The EGA Caribbean Group recommends the sale of the Bachaquero project for the following reasons:</w:t>
      </w:r>
    </w:p>
    <w:p>
      <w:pPr>
        <w:pStyle w:val="Normal"/>
        <w:jc w:val="both"/>
        <w:rPr>
          <w:sz w:val="22"/>
        </w:rPr>
      </w:pPr>
      <w:r>
        <w:rPr>
          <w:sz w:val="22"/>
        </w:rPr>
      </w:r>
    </w:p>
    <w:p>
      <w:pPr>
        <w:pStyle w:val="Normal"/>
        <w:numPr>
          <w:ilvl w:val="0"/>
          <w:numId w:val="2"/>
        </w:numPr>
        <w:jc w:val="both"/>
        <w:rPr>
          <w:sz w:val="22"/>
        </w:rPr>
      </w:pPr>
      <w:r>
        <w:rPr>
          <w:sz w:val="22"/>
        </w:rPr>
        <w:t>Profit on Sale of $1.4 MM;</w:t>
      </w:r>
    </w:p>
    <w:p>
      <w:pPr>
        <w:pStyle w:val="Normal"/>
        <w:numPr>
          <w:ilvl w:val="0"/>
          <w:numId w:val="2"/>
        </w:numPr>
        <w:jc w:val="both"/>
        <w:rPr>
          <w:sz w:val="22"/>
        </w:rPr>
      </w:pPr>
      <w:r>
        <w:rPr>
          <w:sz w:val="22"/>
        </w:rPr>
        <w:t>Bachaquero is a very small asset in which Enron has no day-to-day role;</w:t>
      </w:r>
    </w:p>
    <w:p>
      <w:pPr>
        <w:pStyle w:val="Normal"/>
        <w:numPr>
          <w:ilvl w:val="0"/>
          <w:numId w:val="2"/>
        </w:numPr>
        <w:jc w:val="both"/>
        <w:rPr>
          <w:sz w:val="22"/>
        </w:rPr>
      </w:pPr>
      <w:r>
        <w:rPr>
          <w:sz w:val="22"/>
        </w:rPr>
        <w:t>It does not contribute significant earnings, as it is a mark to market asset.  It has limited upsides, as it is contracted to PDVSA under a type of tolling agreement; and</w:t>
      </w:r>
    </w:p>
    <w:p>
      <w:pPr>
        <w:pStyle w:val="Normal"/>
        <w:numPr>
          <w:ilvl w:val="0"/>
          <w:numId w:val="2"/>
        </w:numPr>
        <w:jc w:val="both"/>
        <w:rPr>
          <w:sz w:val="22"/>
        </w:rPr>
      </w:pPr>
      <w:r>
        <w:rPr>
          <w:sz w:val="22"/>
        </w:rPr>
        <w:t>It is an ancillary business, which is marginal in its economics and will require significant oversight as the contracts with PDVSA are due to expire shortly.</w:t>
      </w:r>
    </w:p>
    <w:p>
      <w:pPr>
        <w:pStyle w:val="Normal"/>
        <w:ind w:start="360" w:end="0"/>
        <w:jc w:val="both"/>
        <w:rPr>
          <w:rFonts w:ascii="Arial" w:hAnsi="Arial" w:cs="Arial"/>
          <w:sz w:val="22"/>
        </w:rPr>
      </w:pPr>
      <w:r>
        <w:rPr>
          <w:rFonts w:cs="Arial" w:ascii="Arial" w:hAnsi="Arial"/>
          <w:sz w:val="22"/>
        </w:rPr>
      </w:r>
    </w:p>
    <w:p>
      <w:pPr>
        <w:pStyle w:val="Normal"/>
        <w:jc w:val="both"/>
        <w:rPr>
          <w:rFonts w:ascii="Arial" w:hAnsi="Arial" w:cs="Arial"/>
        </w:rPr>
      </w:pPr>
      <w:r>
        <w:rPr>
          <w:rFonts w:cs="Arial" w:ascii="Arial" w:hAnsi="Arial"/>
          <w:b/>
          <w:color w:val="000000"/>
        </w:rPr>
        <w:t>Impacts of Sale:</w:t>
      </w:r>
    </w:p>
    <w:p>
      <w:pPr>
        <w:pStyle w:val="Normal"/>
        <w:jc w:val="both"/>
        <w:rPr>
          <w:rFonts w:ascii="Arial" w:hAnsi="Arial" w:cs="Arial"/>
        </w:rPr>
      </w:pPr>
      <w:r>
        <w:rPr>
          <w:rFonts w:cs="Arial" w:ascii="Arial" w:hAnsi="Arial"/>
        </w:rPr>
      </w:r>
    </w:p>
    <w:p>
      <w:pPr>
        <w:pStyle w:val="Normal"/>
        <w:jc w:val="both"/>
        <w:rPr/>
      </w:pPr>
      <w:r>
        <w:rPr>
          <w:sz w:val="22"/>
        </w:rPr>
        <w:t>As detailed below, the proposed sale will result in positive earnings of US$[1,399] (US$ 753k of income was accrued in the 1</w:t>
      </w:r>
      <w:r>
        <w:rPr>
          <w:sz w:val="22"/>
          <w:vertAlign w:val="superscript"/>
        </w:rPr>
        <w:t>st</w:t>
      </w:r>
      <w:r>
        <w:rPr>
          <w:sz w:val="22"/>
        </w:rPr>
        <w:t xml:space="preserve"> quarter 2001) and cash flow of US$[2,644].  EE&amp;CC will record approx. US$ 239,000 of expense (net of tax).</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rPr>
        <w:t>Cash Flow</w:t>
      </w:r>
      <w:r>
        <w:rPr>
          <w:rFonts w:cs="Arial" w:ascii="Arial" w:hAnsi="Arial"/>
        </w:rPr>
        <w:tab/>
        <w:tab/>
        <w:tab/>
        <w:tab/>
        <w:tab/>
        <w:tab/>
        <w:tab/>
      </w:r>
      <w:r>
        <w:rPr>
          <w:b/>
          <w:bCs/>
          <w:sz w:val="22"/>
          <w:u w:val="single"/>
        </w:rPr>
        <w:t>US$’000</w:t>
      </w:r>
    </w:p>
    <w:p>
      <w:pPr>
        <w:pStyle w:val="Normal"/>
        <w:tabs>
          <w:tab w:val="clear" w:pos="720"/>
          <w:tab w:val="left" w:pos="5940" w:leader="none"/>
          <w:tab w:val="left" w:pos="6210" w:leader="none"/>
        </w:tabs>
        <w:jc w:val="both"/>
        <w:rPr>
          <w:sz w:val="22"/>
        </w:rPr>
      </w:pPr>
      <w:r>
        <w:rPr>
          <w:sz w:val="22"/>
        </w:rPr>
        <w:t xml:space="preserve">Proceeds </w:t>
        <w:tab/>
        <w:t>[3,050]</w:t>
        <w:tab/>
      </w:r>
    </w:p>
    <w:p>
      <w:pPr>
        <w:pStyle w:val="Normal"/>
        <w:tabs>
          <w:tab w:val="clear" w:pos="720"/>
          <w:tab w:val="left" w:pos="5940" w:leader="none"/>
          <w:tab w:val="left" w:pos="6210" w:leader="none"/>
        </w:tabs>
        <w:jc w:val="both"/>
        <w:rPr>
          <w:sz w:val="22"/>
        </w:rPr>
      </w:pPr>
      <w:r>
        <w:rPr>
          <w:sz w:val="22"/>
        </w:rPr>
        <w:t>Less: Payment to Hanover Maintech</w:t>
        <w:tab/>
        <w:t>[   380]</w:t>
      </w:r>
    </w:p>
    <w:p>
      <w:pPr>
        <w:pStyle w:val="Normal"/>
        <w:tabs>
          <w:tab w:val="clear" w:pos="720"/>
          <w:tab w:val="left" w:pos="5940" w:leader="none"/>
          <w:tab w:val="left" w:pos="6210" w:leader="none"/>
        </w:tabs>
        <w:jc w:val="both"/>
        <w:rPr>
          <w:sz w:val="22"/>
        </w:rPr>
      </w:pPr>
      <w:r>
        <w:rPr>
          <w:sz w:val="22"/>
        </w:rPr>
        <w:t>Less: Incremental Tax (for Enron)</w:t>
      </w:r>
      <w:r>
        <w:rPr>
          <w:rStyle w:val="FootnoteCharacters"/>
          <w:rStyle w:val="FootnoteReference"/>
          <w:sz w:val="22"/>
        </w:rPr>
        <w:footnoteReference w:id="3"/>
      </w:r>
      <w:r>
        <w:rPr>
          <w:sz w:val="22"/>
        </w:rPr>
        <w:tab/>
      </w:r>
      <w:r>
        <w:rPr>
          <w:sz w:val="22"/>
          <w:u w:val="single"/>
        </w:rPr>
        <w:t>[</w:t>
        <w:tab/>
        <w:t xml:space="preserve"> 26]</w:t>
      </w:r>
    </w:p>
    <w:p>
      <w:pPr>
        <w:pStyle w:val="Normal"/>
        <w:tabs>
          <w:tab w:val="clear" w:pos="720"/>
          <w:tab w:val="left" w:pos="5940" w:leader="none"/>
          <w:tab w:val="left" w:pos="6210" w:leader="none"/>
        </w:tabs>
        <w:rPr/>
      </w:pPr>
      <w:r>
        <w:rPr>
          <w:sz w:val="22"/>
        </w:rPr>
        <w:t>Net Cash Receipt</w:t>
        <w:tab/>
      </w:r>
      <w:r>
        <w:rPr>
          <w:b/>
          <w:bCs/>
          <w:sz w:val="22"/>
          <w:u w:val="double"/>
        </w:rPr>
        <w:t>[2,644]</w:t>
      </w:r>
      <w:r>
        <w:rPr>
          <w:sz w:val="22"/>
        </w:rPr>
        <w:tab/>
        <w:tab/>
        <w:tab/>
        <w:tab/>
      </w:r>
    </w:p>
    <w:p>
      <w:pPr>
        <w:pStyle w:val="Normal"/>
        <w:tabs>
          <w:tab w:val="clear" w:pos="720"/>
          <w:tab w:val="left" w:pos="5940" w:leader="none"/>
          <w:tab w:val="left" w:pos="6210" w:leader="none"/>
        </w:tabs>
        <w:rPr>
          <w:sz w:val="22"/>
        </w:rPr>
      </w:pPr>
      <w:r>
        <w:rPr>
          <w:sz w:val="22"/>
        </w:rPr>
      </w:r>
    </w:p>
    <w:p>
      <w:pPr>
        <w:pStyle w:val="Normal"/>
        <w:tabs>
          <w:tab w:val="clear" w:pos="720"/>
          <w:tab w:val="left" w:pos="5940" w:leader="none"/>
          <w:tab w:val="left" w:pos="6210" w:leader="none"/>
        </w:tabs>
        <w:rPr>
          <w:b/>
          <w:bCs/>
          <w:sz w:val="22"/>
        </w:rPr>
      </w:pPr>
      <w:r>
        <w:rPr>
          <w:rFonts w:cs="Arial" w:ascii="Arial" w:hAnsi="Arial"/>
          <w:b/>
          <w:bCs/>
        </w:rPr>
        <w:t>Book Income</w:t>
      </w:r>
    </w:p>
    <w:p>
      <w:pPr>
        <w:pStyle w:val="Normal"/>
        <w:tabs>
          <w:tab w:val="clear" w:pos="720"/>
          <w:tab w:val="left" w:pos="5940" w:leader="none"/>
          <w:tab w:val="left" w:pos="6210" w:leader="none"/>
        </w:tabs>
        <w:rPr>
          <w:sz w:val="22"/>
        </w:rPr>
      </w:pPr>
      <w:r>
        <w:rPr>
          <w:sz w:val="22"/>
        </w:rPr>
        <w:t>Proceeds</w:t>
        <w:tab/>
        <w:t>[3,050]</w:t>
      </w:r>
    </w:p>
    <w:p>
      <w:pPr>
        <w:pStyle w:val="Normal"/>
        <w:tabs>
          <w:tab w:val="clear" w:pos="720"/>
          <w:tab w:val="left" w:pos="5940" w:leader="none"/>
          <w:tab w:val="left" w:pos="6210" w:leader="none"/>
        </w:tabs>
        <w:rPr>
          <w:sz w:val="22"/>
        </w:rPr>
      </w:pPr>
      <w:r>
        <w:rPr>
          <w:sz w:val="22"/>
        </w:rPr>
        <w:t>Less: Incremental Tax (for EGA)</w:t>
        <w:tab/>
        <w:t>[   167]</w:t>
      </w:r>
    </w:p>
    <w:p>
      <w:pPr>
        <w:pStyle w:val="Normal"/>
        <w:tabs>
          <w:tab w:val="clear" w:pos="720"/>
          <w:tab w:val="left" w:pos="5940" w:leader="none"/>
          <w:tab w:val="left" w:pos="6210" w:leader="none"/>
        </w:tabs>
        <w:rPr>
          <w:sz w:val="22"/>
        </w:rPr>
      </w:pPr>
      <w:r>
        <w:rPr>
          <w:sz w:val="22"/>
        </w:rPr>
        <w:t>Less: Book Value</w:t>
        <w:tab/>
      </w:r>
      <w:r>
        <w:rPr>
          <w:sz w:val="22"/>
          <w:u w:val="single"/>
        </w:rPr>
        <w:t>[1,484]</w:t>
      </w:r>
    </w:p>
    <w:p>
      <w:pPr>
        <w:pStyle w:val="Normal"/>
        <w:tabs>
          <w:tab w:val="clear" w:pos="720"/>
          <w:tab w:val="left" w:pos="5940" w:leader="none"/>
          <w:tab w:val="left" w:pos="6210" w:leader="none"/>
        </w:tabs>
        <w:rPr/>
      </w:pPr>
      <w:r>
        <w:rPr>
          <w:sz w:val="22"/>
        </w:rPr>
        <w:t>Profit on Sale</w:t>
        <w:tab/>
      </w:r>
      <w:r>
        <w:rPr>
          <w:b/>
          <w:bCs/>
          <w:sz w:val="22"/>
          <w:u w:val="double"/>
        </w:rPr>
        <w:t>[1,399]</w:t>
      </w:r>
      <w:r>
        <w:rPr>
          <w:sz w:val="22"/>
        </w:rPr>
        <w:tab/>
        <w:tab/>
        <w:tab/>
        <w:tab/>
        <w:tab/>
        <w:tab/>
        <w:tab/>
        <w:tab/>
        <w:tab/>
        <w:tab/>
        <w:tab/>
        <w:tab/>
      </w:r>
    </w:p>
    <w:p>
      <w:pPr>
        <w:pStyle w:val="Normal"/>
        <w:jc w:val="both"/>
        <w:rPr>
          <w:sz w:val="22"/>
        </w:rPr>
      </w:pPr>
      <w:r>
        <w:rPr>
          <w:sz w:val="22"/>
        </w:rPr>
        <w:t xml:space="preserve"> </w:t>
      </w:r>
    </w:p>
    <w:p>
      <w:pPr>
        <w:pStyle w:val="Normal"/>
        <w:jc w:val="both"/>
        <w:rPr>
          <w:sz w:val="22"/>
        </w:rPr>
      </w:pPr>
      <w:r>
        <w:rPr>
          <w:rFonts w:cs="Arial" w:ascii="Arial" w:hAnsi="Arial"/>
          <w:b/>
          <w:color w:val="000000"/>
        </w:rPr>
        <w:t>Recommendation:</w:t>
      </w:r>
    </w:p>
    <w:p>
      <w:pPr>
        <w:pStyle w:val="Normal"/>
        <w:jc w:val="both"/>
        <w:rPr>
          <w:sz w:val="22"/>
        </w:rPr>
      </w:pPr>
      <w:r>
        <w:rPr>
          <w:sz w:val="22"/>
        </w:rPr>
      </w:r>
    </w:p>
    <w:p>
      <w:pPr>
        <w:pStyle w:val="Normal"/>
        <w:jc w:val="both"/>
        <w:rPr>
          <w:sz w:val="22"/>
        </w:rPr>
      </w:pPr>
      <w:r>
        <w:rPr>
          <w:sz w:val="22"/>
        </w:rPr>
        <w:t>We recommend proceeding with the sale of Enron’s 40% interest in Bachaquero to Hanover for net consideration of US$2.7 MM.</w:t>
      </w:r>
    </w:p>
    <w:sectPr>
      <w:headerReference w:type="default" r:id="rId2"/>
      <w:headerReference w:type="first" r:id="rId3"/>
      <w:footerReference w:type="default" r:id="rId4"/>
      <w:footerReference w:type="first" r:id="rId5"/>
      <w:footnotePr>
        <w:numFmt w:val="decimal"/>
      </w:footnotePr>
      <w:type w:val="nextPage"/>
      <w:pgSz w:w="12240" w:h="15840"/>
      <w:pgMar w:left="1008" w:right="1008"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June 11, 2001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June 11, 2001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actual value of the transaction will be higher as the transaction value will be grossed up for a disputed amount due from EE&amp;CC to Hanover – Hanover will increase the purchase price and Enron will use the additional proceeds to pay down the payable. </w:t>
      </w:r>
    </w:p>
  </w:footnote>
  <w:footnote w:id="3">
    <w:p>
      <w:pPr>
        <w:pStyle w:val="FootnoteText"/>
        <w:rPr/>
      </w:pPr>
      <w:r>
        <w:rPr>
          <w:rStyle w:val="FootnoteCharacters"/>
        </w:rPr>
        <w:footnoteRef/>
      </w:r>
      <w:r>
        <w:rPr/>
        <w:t xml:space="preserve"> </w:t>
      </w:r>
      <w:r>
        <w:rPr/>
        <w:t>The tax expense on EGA’s taxable gain will equal US$[161k].  This will be offset by EE&amp;CC’s tax benefit of US$[141k] on the US$380k of expense.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720" w:leader="none"/>
      </w:tabs>
      <w:rPr>
        <w:b/>
      </w:rPr>
    </w:pPr>
    <w:r>
      <w:rPr>
        <w:b/>
      </w:rPr>
    </w:r>
  </w:p>
  <w:p>
    <w:pPr>
      <w:pStyle w:val="Header"/>
      <w:widowControl/>
      <w:tabs>
        <w:tab w:val="clear" w:pos="4320"/>
        <w:tab w:val="clear" w:pos="8640"/>
        <w:tab w:val="right" w:pos="9720" w:leader="none"/>
      </w:tabs>
      <w:rPr>
        <w:b/>
      </w:rPr>
    </w:pPr>
    <w:r>
      <w:rPr>
        <w:b/>
      </w:rPr>
      <w:t>Deal Approval Sheet</w:t>
      <w:tab/>
      <w:t xml:space="preserve">           Deal Name:  Bachaquero</w:t>
    </w:r>
  </w:p>
  <w:p>
    <w:pPr>
      <w:pStyle w:val="Header"/>
      <w:widowControl/>
      <w:tabs>
        <w:tab w:val="clear" w:pos="4320"/>
        <w:tab w:val="clear" w:pos="8640"/>
        <w:tab w:val="right" w:pos="97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color w:val="000000"/>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b w:val="false"/>
      <w:i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St5z0">
    <w:name w:val="WW8NumSt5z0"/>
    <w:qFormat/>
    <w:rPr>
      <w:rFonts w:ascii="MT Extra" w:hAnsi="MT Extra" w:cs="MT Extra"/>
      <w:sz w:val="28"/>
    </w:rPr>
  </w:style>
  <w:style w:type="character" w:styleId="WW8NumSt7z0">
    <w:name w:val="WW8NumSt7z0"/>
    <w:qFormat/>
    <w:rPr>
      <w:rFonts w:ascii="MT Extra" w:hAnsi="MT Extra" w:cs="MT Extra"/>
      <w:sz w:val="30"/>
    </w:rPr>
  </w:style>
  <w:style w:type="character" w:styleId="WW8NumSt8z0">
    <w:name w:val="WW8NumSt8z0"/>
    <w:qFormat/>
    <w:rPr>
      <w:rFonts w:ascii="Times New Roman" w:hAnsi="Times New Roman" w:cs="Times New Roman"/>
      <w:sz w:val="30"/>
    </w:rPr>
  </w:style>
  <w:style w:type="character" w:styleId="WW8NumSt10z0">
    <w:name w:val="WW8NumSt10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160" w:start="2160" w:end="0"/>
    </w:pPr>
    <w:rPr/>
  </w:style>
  <w:style w:type="paragraph" w:styleId="ParaUnd">
    <w:name w:val="ParaUnd"/>
    <w:basedOn w:val="Normal"/>
    <w:next w:val="Normal"/>
    <w:qFormat/>
    <w:pPr>
      <w:keepNext w:val="true"/>
      <w:widowControl w:val="false"/>
      <w:tabs>
        <w:tab w:val="clear" w:pos="720"/>
        <w:tab w:val="left" w:pos="-720" w:leader="none"/>
      </w:tabs>
      <w:jc w:val="center"/>
    </w:pPr>
    <w:rPr>
      <w:b/>
      <w:sz w:val="24"/>
      <w:u w:val="single"/>
    </w:rPr>
  </w:style>
  <w:style w:type="paragraph" w:styleId="VEBodyText">
    <w:name w:val="VE Body Text"/>
    <w:basedOn w:val="Normal"/>
    <w:qFormat/>
    <w:pPr>
      <w:spacing w:before="0" w:after="240"/>
      <w:jc w:val="both"/>
    </w:pPr>
    <w:rPr>
      <w:sz w:val="24"/>
    </w:rPr>
  </w:style>
  <w:style w:type="paragraph" w:styleId="CommentText">
    <w:name w:val="Comment Text"/>
    <w:basedOn w:val="Normal"/>
    <w:qFormat/>
    <w:pPr/>
    <w:rPr/>
  </w:style>
  <w:style w:type="paragraph" w:styleId="FootnoteText">
    <w:name w:val="footnote text"/>
    <w:basedOn w:val="Normal"/>
    <w:pPr/>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2001-06-11T19:23:00Z</dcterms:created>
  <dc:creator>mruane</dc:creator>
  <dc:description>MR: 9-20-99 added tax signoff</dc:description>
  <dc:language>en-CA</dc:language>
  <cp:lastModifiedBy>etortole</cp:lastModifiedBy>
  <cp:lastPrinted>2001-06-11T16:44:00Z</cp:lastPrinted>
  <dcterms:modified xsi:type="dcterms:W3CDTF">2001-06-11T19:23:00Z</dcterms:modified>
  <cp:revision>2</cp:revision>
  <dc:subject/>
  <dc:title>ENRON RISK ASSESSMENT AND CONTROL</dc:title>
</cp:coreProperties>
</file>